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PeakXV Portfolio Platform</w:t>
      </w:r>
    </w:p>
    <w:p>
      <w:pPr>
        <w:jc w:val="center"/>
      </w:pPr>
      <w:r>
        <w:rPr>
          <w:sz w:val="20"/>
        </w:rPr>
        <w:t>SOW Reference: TG-SOW-2026-006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Peak XV Partners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Technogise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Technogise shall provide consulting and development services for the PeakXV Portfolio Platform engagement:</w:t>
      </w:r>
    </w:p>
    <w:p>
      <w:pPr>
        <w:pStyle w:val="ListBullet"/>
      </w:pPr>
      <w:r>
        <w:t>Product enhancements across all Peak XV portfolio products</w:t>
      </w:r>
    </w:p>
    <w:p>
      <w:pPr>
        <w:pStyle w:val="ListBullet"/>
      </w:pPr>
      <w:r>
        <w:t>Enhancements for 4+ cross-functional teams per month</w:t>
      </w:r>
    </w:p>
    <w:p>
      <w:pPr>
        <w:pStyle w:val="ListBullet"/>
      </w:pPr>
      <w:r>
        <w:t>Migration of investor and finance team apps</w:t>
      </w:r>
    </w:p>
    <w:p>
      <w:pPr>
        <w:pStyle w:val="ListBullet"/>
      </w:pPr>
      <w:r>
        <w:t>Ongoing production support and maintenance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>
              <w:t>Ajitem</w:t>
            </w:r>
          </w:p>
        </w:tc>
        <w:tc>
          <w:tcPr>
            <w:tcW w:type="dxa" w:w="1728"/>
          </w:tcPr>
          <w:p>
            <w:r>
              <w:t>Lead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$80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Sounak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$65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Product enhancements across all Peak XV portfolio products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Enhancements for 4+ cross-functional teams per month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Migration of investor and finance team apps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Ongoing production support and maintenance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Feature delivery</w:t>
            </w:r>
          </w:p>
        </w:tc>
        <w:tc>
          <w:tcPr>
            <w:tcW w:type="dxa" w:w="4320"/>
          </w:tcPr>
          <w:p>
            <w:r>
              <w:t>4+ enhancements/month</w:t>
            </w:r>
          </w:p>
        </w:tc>
      </w:tr>
      <w:tr>
        <w:tc>
          <w:tcPr>
            <w:tcW w:type="dxa" w:w="4320"/>
          </w:tcPr>
          <w:p>
            <w:r>
              <w:t>Migration completion</w:t>
            </w:r>
          </w:p>
        </w:tc>
        <w:tc>
          <w:tcPr>
            <w:tcW w:type="dxa" w:w="4320"/>
          </w:tcPr>
          <w:p>
            <w:r>
              <w:t>≥90%</w:t>
            </w:r>
          </w:p>
        </w:tc>
      </w:tr>
      <w:tr>
        <w:tc>
          <w:tcPr>
            <w:tcW w:type="dxa" w:w="4320"/>
          </w:tcPr>
          <w:p>
            <w:r>
              <w:t>Incident response</w:t>
            </w:r>
          </w:p>
        </w:tc>
        <w:tc>
          <w:tcPr>
            <w:tcW w:type="dxa" w:w="4320"/>
          </w:tcPr>
          <w:p>
            <w:r>
              <w:t>&lt;4 hrs P1</w:t>
            </w:r>
          </w:p>
        </w:tc>
      </w:tr>
    </w:tbl>
    <w:p/>
    <w:p>
      <w:pPr>
        <w:pStyle w:val="Heading2"/>
      </w:pPr>
      <w:r>
        <w:t>5.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Technogise Solutions Pvt. Ltd.</w:t>
            </w:r>
          </w:p>
        </w:tc>
        <w:tc>
          <w:tcPr>
            <w:tcW w:type="dxa" w:w="4320"/>
          </w:tcPr>
          <w:p>
            <w:r>
              <w:t>For: Peak XV Partners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