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STATEMENT OF WORK</w:t>
      </w:r>
    </w:p>
    <w:p>
      <w:pPr>
        <w:jc w:val="center"/>
      </w:pPr>
      <w:r>
        <w:rPr>
          <w:b/>
          <w:sz w:val="28"/>
        </w:rPr>
        <w:t>Peak XV Sprout (Data Intelligence)</w:t>
      </w:r>
    </w:p>
    <w:p>
      <w:pPr>
        <w:jc w:val="center"/>
      </w:pPr>
      <w:r>
        <w:rPr>
          <w:sz w:val="20"/>
        </w:rPr>
        <w:t>SOW Reference: TG-SOW-2026-007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Peak XV Partners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Technogise Solutions Pvt. Ltd.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Jan 1, 2026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Mar 18, 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p>
      <w:pPr>
        <w:pStyle w:val="Heading2"/>
      </w:pPr>
      <w:r>
        <w:t>1. Scope of Work</w:t>
      </w:r>
    </w:p>
    <w:p>
      <w:r>
        <w:t>Technogise shall provide consulting and development services for the Peak XV Sprout (Data Intelligence) engagement:</w:t>
      </w:r>
    </w:p>
    <w:p>
      <w:pPr>
        <w:pStyle w:val="ListBullet"/>
      </w:pPr>
      <w:r>
        <w:t>Data ingestion and transformation pipeline streamlining</w:t>
      </w:r>
    </w:p>
    <w:p>
      <w:pPr>
        <w:pStyle w:val="ListBullet"/>
      </w:pPr>
      <w:r>
        <w:t>Large-scale web scraping productionization</w:t>
      </w:r>
    </w:p>
    <w:p>
      <w:pPr>
        <w:pStyle w:val="ListBullet"/>
      </w:pPr>
      <w:r>
        <w:t>Data coverage expansion and dataset augmentation</w:t>
      </w:r>
    </w:p>
    <w:p>
      <w:pPr>
        <w:pStyle w:val="ListBullet"/>
      </w:pPr>
      <w:r>
        <w:t>Ad-hoc data requests and analysis</w:t>
      </w:r>
    </w:p>
    <w:p>
      <w:pPr>
        <w:pStyle w:val="Heading2"/>
      </w:pPr>
      <w:r>
        <w:t>2. Team Composition &amp; Billing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Rate (USD/hr)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Monthly Hours</w:t>
            </w:r>
          </w:p>
        </w:tc>
      </w:tr>
      <w:tr>
        <w:tc>
          <w:tcPr>
            <w:tcW w:type="dxa" w:w="1728"/>
          </w:tcPr>
          <w:p>
            <w:r>
              <w:t>Anish Anil</w:t>
            </w:r>
          </w:p>
        </w:tc>
        <w:tc>
          <w:tcPr>
            <w:tcW w:type="dxa" w:w="1728"/>
          </w:tcPr>
          <w:p>
            <w:r>
              <w:t>Senior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$55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Mayur B.</w:t>
            </w:r>
          </w:p>
        </w:tc>
        <w:tc>
          <w:tcPr>
            <w:tcW w:type="dxa" w:w="1728"/>
          </w:tcPr>
          <w:p>
            <w:r>
              <w:t>Senior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$55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</w:tbl>
    <w:p/>
    <w:p>
      <w:pPr>
        <w:pStyle w:val="Heading2"/>
      </w:pPr>
      <w:r>
        <w:t>3. Deliverables &amp;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Data ingestion and transformation pipeline streamlining</w:t>
            </w:r>
          </w:p>
        </w:tc>
        <w:tc>
          <w:tcPr>
            <w:tcW w:type="dxa" w:w="2880"/>
          </w:tcPr>
          <w:p>
            <w:r>
              <w:t>Mar 18, 2026</w:t>
            </w:r>
          </w:p>
        </w:tc>
      </w:tr>
      <w:tr>
        <w:tc>
          <w:tcPr>
            <w:tcW w:type="dxa" w:w="2880"/>
          </w:tcPr>
          <w:p>
            <w:r>
              <w:t>D2</w:t>
            </w:r>
          </w:p>
        </w:tc>
        <w:tc>
          <w:tcPr>
            <w:tcW w:type="dxa" w:w="2880"/>
          </w:tcPr>
          <w:p>
            <w:r>
              <w:t>Large-scale web scraping productionization</w:t>
            </w:r>
          </w:p>
        </w:tc>
        <w:tc>
          <w:tcPr>
            <w:tcW w:type="dxa" w:w="2880"/>
          </w:tcPr>
          <w:p>
            <w:r>
              <w:t>Mar 18, 2026</w:t>
            </w:r>
          </w:p>
        </w:tc>
      </w:tr>
      <w:tr>
        <w:tc>
          <w:tcPr>
            <w:tcW w:type="dxa" w:w="2880"/>
          </w:tcPr>
          <w:p>
            <w:r>
              <w:t>D3</w:t>
            </w:r>
          </w:p>
        </w:tc>
        <w:tc>
          <w:tcPr>
            <w:tcW w:type="dxa" w:w="2880"/>
          </w:tcPr>
          <w:p>
            <w:r>
              <w:t>Data coverage expansion and dataset augmentation</w:t>
            </w:r>
          </w:p>
        </w:tc>
        <w:tc>
          <w:tcPr>
            <w:tcW w:type="dxa" w:w="2880"/>
          </w:tcPr>
          <w:p>
            <w:r>
              <w:t>Mar 18, 2026</w:t>
            </w:r>
          </w:p>
        </w:tc>
      </w:tr>
      <w:tr>
        <w:tc>
          <w:tcPr>
            <w:tcW w:type="dxa" w:w="2880"/>
          </w:tcPr>
          <w:p>
            <w:r>
              <w:t>D4</w:t>
            </w:r>
          </w:p>
        </w:tc>
        <w:tc>
          <w:tcPr>
            <w:tcW w:type="dxa" w:w="2880"/>
          </w:tcPr>
          <w:p>
            <w:r>
              <w:t>Ad-hoc data requests and analysis</w:t>
            </w:r>
          </w:p>
        </w:tc>
        <w:tc>
          <w:tcPr>
            <w:tcW w:type="dxa" w:w="2880"/>
          </w:tcPr>
          <w:p>
            <w:r>
              <w:t>Mar 18, 2026</w:t>
            </w:r>
          </w:p>
        </w:tc>
      </w:tr>
    </w:tbl>
    <w:p/>
    <w:p>
      <w:pPr>
        <w:pStyle w:val="Heading2"/>
      </w:pPr>
      <w:r>
        <w:t>4. Key Performance Indicators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Pipeline reliability</w:t>
            </w:r>
          </w:p>
        </w:tc>
        <w:tc>
          <w:tcPr>
            <w:tcW w:type="dxa" w:w="4320"/>
          </w:tcPr>
          <w:p>
            <w:r>
              <w:t>≥99%</w:t>
            </w:r>
          </w:p>
        </w:tc>
      </w:tr>
      <w:tr>
        <w:tc>
          <w:tcPr>
            <w:tcW w:type="dxa" w:w="4320"/>
          </w:tcPr>
          <w:p>
            <w:r>
              <w:t>Scraping throughput</w:t>
            </w:r>
          </w:p>
        </w:tc>
        <w:tc>
          <w:tcPr>
            <w:tcW w:type="dxa" w:w="4320"/>
          </w:tcPr>
          <w:p>
            <w:r>
              <w:t>≥5000 pages/day</w:t>
            </w:r>
          </w:p>
        </w:tc>
      </w:tr>
      <w:tr>
        <w:tc>
          <w:tcPr>
            <w:tcW w:type="dxa" w:w="4320"/>
          </w:tcPr>
          <w:p>
            <w:r>
              <w:t>Ad-hoc turnaround</w:t>
            </w:r>
          </w:p>
        </w:tc>
        <w:tc>
          <w:tcPr>
            <w:tcW w:type="dxa" w:w="4320"/>
          </w:tcPr>
          <w:p>
            <w:r>
              <w:t>&lt;2 business days</w:t>
            </w:r>
          </w:p>
        </w:tc>
      </w:tr>
    </w:tbl>
    <w:p/>
    <w:p>
      <w:pPr>
        <w:pStyle w:val="Heading2"/>
      </w:pPr>
      <w:r>
        <w:t>5. Commercial Terms</w:t>
      </w:r>
    </w:p>
    <w:p>
      <w:r>
        <w:t>Estimated monthly value: $17,600</w:t>
      </w:r>
    </w:p>
    <w:p>
      <w:r>
        <w:t>Invoicing: Monthly in arrears based on actual hours logged in Kimai.</w:t>
      </w:r>
    </w:p>
    <w:p>
      <w:r>
        <w:t>Payment terms: Net 30 days from invoice date.</w:t>
      </w:r>
    </w:p>
    <w:p>
      <w:pPr>
        <w:pStyle w:val="Heading2"/>
      </w:pPr>
      <w:r>
        <w:t>6. Assumptions &amp; Exclusions</w:t>
      </w:r>
    </w:p>
    <w:p>
      <w:pPr>
        <w:pStyle w:val="ListBullet"/>
      </w:pPr>
      <w:r>
        <w:t>Client provides timely access to environments and stakeholders.</w:t>
      </w:r>
    </w:p>
    <w:p>
      <w:pPr>
        <w:pStyle w:val="ListBullet"/>
      </w:pPr>
      <w:r>
        <w:t>Infrastructure and hosting costs borne by client.</w:t>
      </w:r>
    </w:p>
    <w:p>
      <w:pPr>
        <w:pStyle w:val="ListBullet"/>
      </w:pPr>
      <w:r>
        <w:t>Scope changes require formal Change Request approval.</w:t>
      </w:r>
    </w:p>
    <w:p>
      <w:pPr>
        <w:pStyle w:val="Heading2"/>
      </w:pPr>
      <w:r>
        <w:t>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For: Technogise Solutions Pvt. Ltd.</w:t>
            </w:r>
          </w:p>
        </w:tc>
        <w:tc>
          <w:tcPr>
            <w:tcW w:type="dxa" w:w="4320"/>
          </w:tcPr>
          <w:p>
            <w:r>
              <w:t>For: Peak XV Partners</w:t>
            </w:r>
          </w:p>
        </w:tc>
      </w:tr>
      <w:tr>
        <w:tc>
          <w:tcPr>
            <w:tcW w:type="dxa" w:w="4320"/>
          </w:tcPr>
          <w:p>
            <w:r>
              <w:t>Name: ___________________________</w:t>
            </w:r>
          </w:p>
        </w:tc>
        <w:tc>
          <w:tcPr>
            <w:tcW w:type="dxa" w:w="4320"/>
          </w:tcPr>
          <w:p>
            <w:r>
              <w:t>Name: ___________________________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___________________________</w:t>
            </w:r>
          </w:p>
        </w:tc>
        <w:tc>
          <w:tcPr>
            <w:tcW w:type="dxa" w:w="4320"/>
          </w:tcPr>
          <w:p>
            <w:r>
              <w:t>Date: 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