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Promobi - Apple MDM</w:t>
      </w:r>
    </w:p>
    <w:p>
      <w:pPr>
        <w:jc w:val="center"/>
      </w:pPr>
      <w:r>
        <w:rPr>
          <w:sz w:val="20"/>
        </w:rPr>
        <w:t>SOW Reference: TG-SOW-2026-004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Promobi Technologies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Promobi - Apple MDM engagement:</w:t>
      </w:r>
    </w:p>
    <w:p>
      <w:pPr>
        <w:pStyle w:val="ListBullet"/>
      </w:pPr>
      <w:r>
        <w:t>Apple device management — Compliance module</w:t>
      </w:r>
    </w:p>
    <w:p>
      <w:pPr>
        <w:pStyle w:val="ListBullet"/>
      </w:pPr>
      <w:r>
        <w:t>LAPS (Local Admin Password Solution)</w:t>
      </w:r>
    </w:p>
    <w:p>
      <w:pPr>
        <w:pStyle w:val="ListBullet"/>
      </w:pPr>
      <w:r>
        <w:t>Apple Configurations extraction and enforcement</w:t>
      </w:r>
    </w:p>
    <w:p>
      <w:pPr>
        <w:pStyle w:val="ListBullet"/>
      </w:pPr>
      <w:r>
        <w:t>Recovery Lock and Firmware Password Management</w:t>
      </w:r>
    </w:p>
    <w:p>
      <w:pPr>
        <w:pStyle w:val="ListBullet"/>
      </w:pPr>
      <w:r>
        <w:t>Holiday Calendar Config and Workflow Changes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Abhimanyu S.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Adithya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Config coverage</w:t>
            </w:r>
          </w:p>
        </w:tc>
        <w:tc>
          <w:tcPr>
            <w:tcW w:type="dxa" w:w="4320"/>
          </w:tcPr>
          <w:p>
            <w:r>
              <w:t>≥90% Apple settings</w:t>
            </w:r>
          </w:p>
        </w:tc>
      </w:tr>
      <w:tr>
        <w:tc>
          <w:tcPr>
            <w:tcW w:type="dxa" w:w="4320"/>
          </w:tcPr>
          <w:p>
            <w:r>
              <w:t>Policy enforcement success</w:t>
            </w:r>
          </w:p>
        </w:tc>
        <w:tc>
          <w:tcPr>
            <w:tcW w:type="dxa" w:w="4320"/>
          </w:tcPr>
          <w:p>
            <w:r>
              <w:t>≥95%</w:t>
            </w:r>
          </w:p>
        </w:tc>
      </w:tr>
      <w:tr>
        <w:tc>
          <w:tcPr>
            <w:tcW w:type="dxa" w:w="4320"/>
          </w:tcPr>
          <w:p>
            <w:r>
              <w:t>Release cadence</w:t>
            </w:r>
          </w:p>
        </w:tc>
        <w:tc>
          <w:tcPr>
            <w:tcW w:type="dxa" w:w="4320"/>
          </w:tcPr>
          <w:p>
            <w:r>
              <w:t>Bi-weekly</w:t>
            </w:r>
          </w:p>
        </w:tc>
      </w:tr>
    </w:tbl>
    <w:p/>
    <w:p>
      <w:pPr>
        <w:pStyle w:val="Heading2"/>
      </w:pPr>
      <w:r>
        <w:t>4.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Promobi Technologies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