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Promobi – Data Protection</w:t>
      </w:r>
    </w:p>
    <w:p>
      <w:pPr>
        <w:jc w:val="center"/>
      </w:pPr>
      <w:r>
        <w:rPr>
          <w:sz w:val="20"/>
        </w:rPr>
        <w:t>SOW Reference: TG-SOW-2026-005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Promobi Technologies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Feb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22,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Promobi – Data Protection engagement:</w:t>
      </w:r>
    </w:p>
    <w:p>
      <w:pPr>
        <w:pStyle w:val="ListBullet"/>
      </w:pPr>
      <w:r>
        <w:t>PII/PHI/SPII detection engine development</w:t>
      </w:r>
    </w:p>
    <w:p>
      <w:pPr>
        <w:pStyle w:val="ListBullet"/>
      </w:pPr>
      <w:r>
        <w:t>Centralized rule parsing and customizable detection patterns</w:t>
      </w:r>
    </w:p>
    <w:p>
      <w:pPr>
        <w:pStyle w:val="ListBullet"/>
      </w:pPr>
      <w:r>
        <w:t>Data scanning and sensitive information classification</w:t>
      </w:r>
    </w:p>
    <w:p>
      <w:pPr>
        <w:pStyle w:val="ListBullet"/>
      </w:pPr>
      <w:r>
        <w:t>Compliance scoring and audit-ready reporting</w:t>
      </w:r>
    </w:p>
    <w:p>
      <w:pPr>
        <w:pStyle w:val="ListBullet"/>
      </w:pPr>
      <w:r>
        <w:t>Automated masking, encryption, quarantine workflows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Utkarsh R.</w:t>
            </w:r>
          </w:p>
        </w:tc>
        <w:tc>
          <w:tcPr>
            <w:tcW w:type="dxa" w:w="1728"/>
          </w:tcPr>
          <w:p>
            <w:r>
              <w:t>Technology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PII/PHI/SPII detection engine development</w:t>
            </w:r>
          </w:p>
        </w:tc>
        <w:tc>
          <w:tcPr>
            <w:tcW w:type="dxa" w:w="2880"/>
          </w:tcPr>
          <w:p>
            <w:r>
              <w:t>Mar 22,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Centralized rule parsing and customizable detection patterns</w:t>
            </w:r>
          </w:p>
        </w:tc>
        <w:tc>
          <w:tcPr>
            <w:tcW w:type="dxa" w:w="2880"/>
          </w:tcPr>
          <w:p>
            <w:r>
              <w:t>Mar 22,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Data scanning and sensitive information classification</w:t>
            </w:r>
          </w:p>
        </w:tc>
        <w:tc>
          <w:tcPr>
            <w:tcW w:type="dxa" w:w="2880"/>
          </w:tcPr>
          <w:p>
            <w:r>
              <w:t>Mar 22,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Compliance scoring and audit-ready reporting</w:t>
            </w:r>
          </w:p>
        </w:tc>
        <w:tc>
          <w:tcPr>
            <w:tcW w:type="dxa" w:w="2880"/>
          </w:tcPr>
          <w:p>
            <w:r>
              <w:t>Mar 22, 2026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Automated masking, encryption, quarantine workflows</w:t>
            </w:r>
          </w:p>
        </w:tc>
        <w:tc>
          <w:tcPr>
            <w:tcW w:type="dxa" w:w="2880"/>
          </w:tcPr>
          <w:p>
            <w:r>
              <w:t>Mar 22,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Detection accuracy</w:t>
            </w:r>
          </w:p>
        </w:tc>
        <w:tc>
          <w:tcPr>
            <w:tcW w:type="dxa" w:w="4320"/>
          </w:tcPr>
          <w:p>
            <w:r>
              <w:t>≥95%</w:t>
            </w:r>
          </w:p>
        </w:tc>
      </w:tr>
      <w:tr>
        <w:tc>
          <w:tcPr>
            <w:tcW w:type="dxa" w:w="4320"/>
          </w:tcPr>
          <w:p>
            <w:r>
              <w:t>False positive rate</w:t>
            </w:r>
          </w:p>
        </w:tc>
        <w:tc>
          <w:tcPr>
            <w:tcW w:type="dxa" w:w="4320"/>
          </w:tcPr>
          <w:p>
            <w:r>
              <w:t>&lt;5%</w:t>
            </w:r>
          </w:p>
        </w:tc>
      </w:tr>
      <w:tr>
        <w:tc>
          <w:tcPr>
            <w:tcW w:type="dxa" w:w="4320"/>
          </w:tcPr>
          <w:p>
            <w:r>
              <w:t>Scan throughput</w:t>
            </w:r>
          </w:p>
        </w:tc>
        <w:tc>
          <w:tcPr>
            <w:tcW w:type="dxa" w:w="4320"/>
          </w:tcPr>
          <w:p>
            <w:r>
              <w:t>≥1000 records/min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$14,260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Promobi Technologies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