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STATEMENT OF WORK</w:t>
      </w:r>
    </w:p>
    <w:p>
      <w:pPr>
        <w:jc w:val="center"/>
      </w:pPr>
      <w:r>
        <w:rPr>
          <w:b/>
          <w:sz w:val="28"/>
        </w:rPr>
        <w:t>Provus CPQ Platform</w:t>
      </w:r>
    </w:p>
    <w:p>
      <w:pPr>
        <w:jc w:val="center"/>
      </w:pPr>
      <w:r>
        <w:rPr>
          <w:sz w:val="20"/>
        </w:rPr>
        <w:t>SOW Reference: TG-SOW-2026-014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Provus Inc.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Technogise Solutions Pvt. Ltd.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Feb 1, 2026</w:t>
            </w:r>
          </w:p>
        </w:tc>
      </w:tr>
      <w:tr>
        <w:tc>
          <w:tcPr>
            <w:tcW w:type="dxa" w:w="4320"/>
          </w:tcPr>
          <w:p>
            <w:r>
              <w:t>End Date</w:t>
            </w:r>
          </w:p>
        </w:tc>
        <w:tc>
          <w:tcPr>
            <w:tcW w:type="dxa" w:w="4320"/>
          </w:tcPr>
          <w:p>
            <w:r>
              <w:t>Jun 30, 2026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/>
    <w:p>
      <w:pPr>
        <w:pStyle w:val="Heading2"/>
      </w:pPr>
      <w:r>
        <w:t>1. Scope of Work</w:t>
      </w:r>
    </w:p>
    <w:p>
      <w:r>
        <w:t>Technogise shall provide consulting and development services for the Provus CPQ Platform engagement:</w:t>
      </w:r>
    </w:p>
    <w:p>
      <w:pPr>
        <w:pStyle w:val="ListBullet"/>
      </w:pPr>
      <w:r>
        <w:t>Services CPQ platform development</w:t>
      </w:r>
    </w:p>
    <w:p>
      <w:pPr>
        <w:pStyle w:val="ListBullet"/>
      </w:pPr>
      <w:r>
        <w:t>AWS Serverless architecture deployment</w:t>
      </w:r>
    </w:p>
    <w:p>
      <w:pPr>
        <w:pStyle w:val="ListBullet"/>
      </w:pPr>
      <w:r>
        <w:t>Material UI based responsive interfaces</w:t>
      </w:r>
    </w:p>
    <w:p>
      <w:pPr>
        <w:pStyle w:val="ListBullet"/>
      </w:pPr>
      <w:r>
        <w:t>Pricing engine and quoting automation</w:t>
      </w:r>
    </w:p>
    <w:p>
      <w:pPr>
        <w:pStyle w:val="ListBullet"/>
      </w:pPr>
      <w:r>
        <w:t>Advanced capability features (Phase 2)</w:t>
      </w:r>
    </w:p>
    <w:p>
      <w:pPr>
        <w:pStyle w:val="Heading2"/>
      </w:pPr>
      <w:r>
        <w:t>2. Team Composition &amp; Billing Rates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Allocation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Rate (USD/hr)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Monthly Hours</w:t>
            </w:r>
          </w:p>
        </w:tc>
      </w:tr>
      <w:tr>
        <w:tc>
          <w:tcPr>
            <w:tcW w:type="dxa" w:w="1728"/>
          </w:tcPr>
          <w:p>
            <w:r>
              <w:t>Mahesh Lal</w:t>
            </w:r>
          </w:p>
        </w:tc>
        <w:tc>
          <w:tcPr>
            <w:tcW w:type="dxa" w:w="1728"/>
          </w:tcPr>
          <w:p>
            <w:r>
              <w:t>Principal Consultant</w:t>
            </w:r>
          </w:p>
        </w:tc>
        <w:tc>
          <w:tcPr>
            <w:tcW w:type="dxa" w:w="1728"/>
          </w:tcPr>
          <w:p>
            <w:r>
              <w:t>20%</w:t>
            </w:r>
          </w:p>
        </w:tc>
        <w:tc>
          <w:tcPr>
            <w:tcW w:type="dxa" w:w="1728"/>
          </w:tcPr>
          <w:p>
            <w:r>
              <w:t>$85</w:t>
            </w:r>
          </w:p>
        </w:tc>
        <w:tc>
          <w:tcPr>
            <w:tcW w:type="dxa" w:w="1728"/>
          </w:tcPr>
          <w:p>
            <w:r>
              <w:t>32</w:t>
            </w:r>
          </w:p>
        </w:tc>
      </w:tr>
      <w:tr>
        <w:tc>
          <w:tcPr>
            <w:tcW w:type="dxa" w:w="1728"/>
          </w:tcPr>
          <w:p>
            <w:r>
              <w:t>Mayank D.</w:t>
            </w:r>
          </w:p>
        </w:tc>
        <w:tc>
          <w:tcPr>
            <w:tcW w:type="dxa" w:w="1728"/>
          </w:tcPr>
          <w:p>
            <w:r>
              <w:t>Senior Consultant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$55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  <w:tr>
        <w:tc>
          <w:tcPr>
            <w:tcW w:type="dxa" w:w="1728"/>
          </w:tcPr>
          <w:p>
            <w:r>
              <w:t>Navsheel</w:t>
            </w:r>
          </w:p>
        </w:tc>
        <w:tc>
          <w:tcPr>
            <w:tcW w:type="dxa" w:w="1728"/>
          </w:tcPr>
          <w:p>
            <w:r>
              <w:t>Senior Consultant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$55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  <w:tr>
        <w:tc>
          <w:tcPr>
            <w:tcW w:type="dxa" w:w="1728"/>
          </w:tcPr>
          <w:p>
            <w:r>
              <w:t>Sounak</w:t>
            </w:r>
          </w:p>
        </w:tc>
        <w:tc>
          <w:tcPr>
            <w:tcW w:type="dxa" w:w="1728"/>
          </w:tcPr>
          <w:p>
            <w:r>
              <w:t>Senior Consultant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$55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  <w:tr>
        <w:tc>
          <w:tcPr>
            <w:tcW w:type="dxa" w:w="1728"/>
          </w:tcPr>
          <w:p>
            <w:r>
              <w:t>Chaitrali</w:t>
            </w:r>
          </w:p>
        </w:tc>
        <w:tc>
          <w:tcPr>
            <w:tcW w:type="dxa" w:w="1728"/>
          </w:tcPr>
          <w:p>
            <w:r>
              <w:t>Technology Consultant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$45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  <w:tr>
        <w:tc>
          <w:tcPr>
            <w:tcW w:type="dxa" w:w="1728"/>
          </w:tcPr>
          <w:p>
            <w:r>
              <w:t>Aalay</w:t>
            </w:r>
          </w:p>
        </w:tc>
        <w:tc>
          <w:tcPr>
            <w:tcW w:type="dxa" w:w="1728"/>
          </w:tcPr>
          <w:p>
            <w:r>
              <w:t>Technology Consultant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$45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  <w:tr>
        <w:tc>
          <w:tcPr>
            <w:tcW w:type="dxa" w:w="1728"/>
          </w:tcPr>
          <w:p>
            <w:r>
              <w:t>Pranay</w:t>
            </w:r>
          </w:p>
        </w:tc>
        <w:tc>
          <w:tcPr>
            <w:tcW w:type="dxa" w:w="1728"/>
          </w:tcPr>
          <w:p>
            <w:r>
              <w:t>Technology Consultant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$45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</w:tbl>
    <w:p/>
    <w:p>
      <w:pPr>
        <w:pStyle w:val="Heading2"/>
      </w:pPr>
      <w:r>
        <w:t>3. Deliverables &amp; Milestones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t>D1</w:t>
            </w:r>
          </w:p>
        </w:tc>
        <w:tc>
          <w:tcPr>
            <w:tcW w:type="dxa" w:w="2880"/>
          </w:tcPr>
          <w:p>
            <w:r>
              <w:t>Services CPQ platform development</w:t>
            </w:r>
          </w:p>
        </w:tc>
        <w:tc>
          <w:tcPr>
            <w:tcW w:type="dxa" w:w="2880"/>
          </w:tcPr>
          <w:p>
            <w:r>
              <w:t>Jun 30, 2026</w:t>
            </w:r>
          </w:p>
        </w:tc>
      </w:tr>
      <w:tr>
        <w:tc>
          <w:tcPr>
            <w:tcW w:type="dxa" w:w="2880"/>
          </w:tcPr>
          <w:p>
            <w:r>
              <w:t>D2</w:t>
            </w:r>
          </w:p>
        </w:tc>
        <w:tc>
          <w:tcPr>
            <w:tcW w:type="dxa" w:w="2880"/>
          </w:tcPr>
          <w:p>
            <w:r>
              <w:t>AWS Serverless architecture deployment</w:t>
            </w:r>
          </w:p>
        </w:tc>
        <w:tc>
          <w:tcPr>
            <w:tcW w:type="dxa" w:w="2880"/>
          </w:tcPr>
          <w:p>
            <w:r>
              <w:t>Jun 30, 2026</w:t>
            </w:r>
          </w:p>
        </w:tc>
      </w:tr>
      <w:tr>
        <w:tc>
          <w:tcPr>
            <w:tcW w:type="dxa" w:w="2880"/>
          </w:tcPr>
          <w:p>
            <w:r>
              <w:t>D3</w:t>
            </w:r>
          </w:p>
        </w:tc>
        <w:tc>
          <w:tcPr>
            <w:tcW w:type="dxa" w:w="2880"/>
          </w:tcPr>
          <w:p>
            <w:r>
              <w:t>Material UI based responsive interfaces</w:t>
            </w:r>
          </w:p>
        </w:tc>
        <w:tc>
          <w:tcPr>
            <w:tcW w:type="dxa" w:w="2880"/>
          </w:tcPr>
          <w:p>
            <w:r>
              <w:t>Jun 30, 2026</w:t>
            </w:r>
          </w:p>
        </w:tc>
      </w:tr>
      <w:tr>
        <w:tc>
          <w:tcPr>
            <w:tcW w:type="dxa" w:w="2880"/>
          </w:tcPr>
          <w:p>
            <w:r>
              <w:t>D4</w:t>
            </w:r>
          </w:p>
        </w:tc>
        <w:tc>
          <w:tcPr>
            <w:tcW w:type="dxa" w:w="2880"/>
          </w:tcPr>
          <w:p>
            <w:r>
              <w:t>Pricing engine and quoting automation</w:t>
            </w:r>
          </w:p>
        </w:tc>
        <w:tc>
          <w:tcPr>
            <w:tcW w:type="dxa" w:w="2880"/>
          </w:tcPr>
          <w:p>
            <w:r>
              <w:t>Jun 30, 2026</w:t>
            </w:r>
          </w:p>
        </w:tc>
      </w:tr>
      <w:tr>
        <w:tc>
          <w:tcPr>
            <w:tcW w:type="dxa" w:w="2880"/>
          </w:tcPr>
          <w:p>
            <w:r>
              <w:t>D5</w:t>
            </w:r>
          </w:p>
        </w:tc>
        <w:tc>
          <w:tcPr>
            <w:tcW w:type="dxa" w:w="2880"/>
          </w:tcPr>
          <w:p>
            <w:r>
              <w:t>Advanced capability features (Phase 2)</w:t>
            </w:r>
          </w:p>
        </w:tc>
        <w:tc>
          <w:tcPr>
            <w:tcW w:type="dxa" w:w="2880"/>
          </w:tcPr>
          <w:p>
            <w:r>
              <w:t>Jun 30, 2026</w:t>
            </w:r>
          </w:p>
        </w:tc>
      </w:tr>
    </w:tbl>
    <w:p/>
    <w:p>
      <w:pPr>
        <w:pStyle w:val="Heading2"/>
      </w:pPr>
      <w:r>
        <w:t>4. Key Performance Indicators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KPI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t>Feature delivery</w:t>
            </w:r>
          </w:p>
        </w:tc>
        <w:tc>
          <w:tcPr>
            <w:tcW w:type="dxa" w:w="4320"/>
          </w:tcPr>
          <w:p>
            <w:r>
              <w:t>≥2 modules/month</w:t>
            </w:r>
          </w:p>
        </w:tc>
      </w:tr>
      <w:tr>
        <w:tc>
          <w:tcPr>
            <w:tcW w:type="dxa" w:w="4320"/>
          </w:tcPr>
          <w:p>
            <w:r>
              <w:t>API latency</w:t>
            </w:r>
          </w:p>
        </w:tc>
        <w:tc>
          <w:tcPr>
            <w:tcW w:type="dxa" w:w="4320"/>
          </w:tcPr>
          <w:p>
            <w:r>
              <w:t>&lt;200ms p95</w:t>
            </w:r>
          </w:p>
        </w:tc>
      </w:tr>
      <w:tr>
        <w:tc>
          <w:tcPr>
            <w:tcW w:type="dxa" w:w="4320"/>
          </w:tcPr>
          <w:p>
            <w:r>
              <w:t>Infra cost</w:t>
            </w:r>
          </w:p>
        </w:tc>
        <w:tc>
          <w:tcPr>
            <w:tcW w:type="dxa" w:w="4320"/>
          </w:tcPr>
          <w:p>
            <w:r>
              <w:t>&lt;$500/mo serverless</w:t>
            </w:r>
          </w:p>
        </w:tc>
      </w:tr>
    </w:tbl>
    <w:p/>
    <w:p>
      <w:pPr>
        <w:pStyle w:val="Heading2"/>
      </w:pPr>
      <w:r>
        <w:t>5. Commercial Terms</w:t>
      </w:r>
    </w:p>
    <w:p>
      <w:r>
        <w:t>Estimated monthly value: $54,560</w:t>
      </w:r>
    </w:p>
    <w:p>
      <w:r>
        <w:t>Invoicing: Monthly in arrears based on actual hours logged in Kimai.</w:t>
      </w:r>
    </w:p>
    <w:p>
      <w:r>
        <w:t>Payment terms: Net 30 days from invoice date.</w:t>
      </w:r>
    </w:p>
    <w:p>
      <w:pPr>
        <w:pStyle w:val="Heading2"/>
      </w:pPr>
      <w:r>
        <w:t>6. Assumptions &amp; Exclusions</w:t>
      </w:r>
    </w:p>
    <w:p>
      <w:pPr>
        <w:pStyle w:val="ListBullet"/>
      </w:pPr>
      <w:r>
        <w:t>Client provides timely access to environments and stakeholders.</w:t>
      </w:r>
    </w:p>
    <w:p>
      <w:pPr>
        <w:pStyle w:val="ListBullet"/>
      </w:pPr>
      <w:r>
        <w:t>Infrastructure and hosting costs borne by client.</w:t>
      </w:r>
    </w:p>
    <w:p>
      <w:pPr>
        <w:pStyle w:val="ListBullet"/>
      </w:pPr>
      <w:r>
        <w:t>Scope changes require formal Change Request approval.</w:t>
      </w:r>
    </w:p>
    <w:p>
      <w:pPr>
        <w:pStyle w:val="Heading2"/>
      </w:pPr>
      <w:r>
        <w:t>Signatures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For: Technogise Solutions Pvt. Ltd.</w:t>
            </w:r>
          </w:p>
        </w:tc>
        <w:tc>
          <w:tcPr>
            <w:tcW w:type="dxa" w:w="4320"/>
          </w:tcPr>
          <w:p>
            <w:r>
              <w:t>For: Provus Inc.</w:t>
            </w:r>
          </w:p>
        </w:tc>
      </w:tr>
      <w:tr>
        <w:tc>
          <w:tcPr>
            <w:tcW w:type="dxa" w:w="4320"/>
          </w:tcPr>
          <w:p>
            <w:r>
              <w:t>Name: ___________________________</w:t>
            </w:r>
          </w:p>
        </w:tc>
        <w:tc>
          <w:tcPr>
            <w:tcW w:type="dxa" w:w="4320"/>
          </w:tcPr>
          <w:p>
            <w:r>
              <w:t>Name: ___________________________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___________________________</w:t>
            </w:r>
          </w:p>
        </w:tc>
        <w:tc>
          <w:tcPr>
            <w:tcW w:type="dxa" w:w="4320"/>
          </w:tcPr>
          <w:p>
            <w:r>
              <w:t>Date: ___________________________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