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Shippit Rate System</w:t>
      </w:r>
    </w:p>
    <w:p>
      <w:pPr>
        <w:jc w:val="center"/>
      </w:pPr>
      <w:r>
        <w:rPr>
          <w:sz w:val="20"/>
        </w:rPr>
        <w:t>SOW Reference: TG-SOW-2026-018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Shippit Pty Ltd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Feb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25,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Shippit Rate System engagement:</w:t>
      </w:r>
    </w:p>
    <w:p>
      <w:pPr>
        <w:pStyle w:val="ListBullet"/>
      </w:pPr>
      <w:r>
        <w:t>Rate system to replace manual rate card deployment</w:t>
      </w:r>
    </w:p>
    <w:p>
      <w:pPr>
        <w:pStyle w:val="ListBullet"/>
      </w:pPr>
      <w:r>
        <w:t>Serviceability file automation (Phase 1)</w:t>
      </w:r>
    </w:p>
    <w:p>
      <w:pPr>
        <w:pStyle w:val="ListBullet"/>
      </w:pPr>
      <w:r>
        <w:t>Stakeholder interviews and event storming</w:t>
      </w:r>
    </w:p>
    <w:p>
      <w:pPr>
        <w:pStyle w:val="ListBullet"/>
      </w:pPr>
      <w:r>
        <w:t>Domain modeling and architecture design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Nayyab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Gaurav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Rate system to replace manual rate card deployment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Serviceability file automation (Phase 1)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Stakeholder interviews and event storming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Domain modeling and architecture design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Deployment time reduction</w:t>
            </w:r>
          </w:p>
        </w:tc>
        <w:tc>
          <w:tcPr>
            <w:tcW w:type="dxa" w:w="4320"/>
          </w:tcPr>
          <w:p>
            <w:r>
              <w:t>From 0.5 day to &lt;10 min</w:t>
            </w:r>
          </w:p>
        </w:tc>
      </w:tr>
      <w:tr>
        <w:tc>
          <w:tcPr>
            <w:tcW w:type="dxa" w:w="4320"/>
          </w:tcPr>
          <w:p>
            <w:r>
              <w:t>Serviceability automation</w:t>
            </w:r>
          </w:p>
        </w:tc>
        <w:tc>
          <w:tcPr>
            <w:tcW w:type="dxa" w:w="4320"/>
          </w:tcPr>
          <w:p>
            <w:r>
              <w:t>Phase 1 complete</w:t>
            </w:r>
          </w:p>
        </w:tc>
      </w:tr>
      <w:tr>
        <w:tc>
          <w:tcPr>
            <w:tcW w:type="dxa" w:w="4320"/>
          </w:tcPr>
          <w:p>
            <w:r>
              <w:t>Stakeholder satisfaction</w:t>
            </w:r>
          </w:p>
        </w:tc>
        <w:tc>
          <w:tcPr>
            <w:tcW w:type="dxa" w:w="4320"/>
          </w:tcPr>
          <w:p>
            <w:r>
              <w:t>≥4/5</w:t>
            </w:r>
          </w:p>
        </w:tc>
      </w:tr>
    </w:tbl>
    <w:p/>
    <w:p>
      <w:pPr>
        <w:pStyle w:val="Heading2"/>
      </w:pPr>
      <w:r>
        <w:t>5.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Shippit Pty Ltd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