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Team Beach – Internal L&amp;D</w:t>
      </w:r>
    </w:p>
    <w:p>
      <w:pPr>
        <w:jc w:val="center"/>
      </w:pPr>
      <w:r>
        <w:rPr>
          <w:sz w:val="20"/>
        </w:rPr>
        <w:t>SOW Reference: TG-SOW-2026-011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Technogise (Internal)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25,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Team Beach – Internal L&amp;D engagement:</w:t>
      </w:r>
    </w:p>
    <w:p>
      <w:pPr>
        <w:pStyle w:val="ListBullet"/>
      </w:pPr>
      <w:r>
        <w:t>Internal L&amp;D — System Design, Java/Spring Boot, DevOps, Kafka, Agentic AI tracks</w:t>
      </w:r>
    </w:p>
    <w:p>
      <w:pPr>
        <w:pStyle w:val="ListBullet"/>
      </w:pPr>
      <w:r>
        <w:t>Daily showcase calls and knowledge sharing sessions</w:t>
      </w:r>
    </w:p>
    <w:p>
      <w:pPr>
        <w:pStyle w:val="ListBullet"/>
      </w:pPr>
      <w:r>
        <w:t>AI workshop facilitation (4 batches)</w:t>
      </w:r>
    </w:p>
    <w:p>
      <w:pPr>
        <w:pStyle w:val="ListBullet"/>
      </w:pPr>
      <w:r>
        <w:t>Claude CLI legacy code workshop (3-day in-person)</w:t>
      </w:r>
    </w:p>
    <w:p>
      <w:pPr>
        <w:pStyle w:val="ListBullet"/>
      </w:pPr>
      <w:r>
        <w:t>Technogise website upgrade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Saroj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Satyam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Atharv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Sakshi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Animesh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Workshop completion</w:t>
            </w:r>
          </w:p>
        </w:tc>
        <w:tc>
          <w:tcPr>
            <w:tcW w:type="dxa" w:w="4320"/>
          </w:tcPr>
          <w:p>
            <w:r>
              <w:t>4 batches</w:t>
            </w:r>
          </w:p>
        </w:tc>
      </w:tr>
      <w:tr>
        <w:tc>
          <w:tcPr>
            <w:tcW w:type="dxa" w:w="4320"/>
          </w:tcPr>
          <w:p>
            <w:r>
              <w:t>Daily showcases</w:t>
            </w:r>
          </w:p>
        </w:tc>
        <w:tc>
          <w:tcPr>
            <w:tcW w:type="dxa" w:w="4320"/>
          </w:tcPr>
          <w:p>
            <w:r>
              <w:t>≥90% attendance</w:t>
            </w:r>
          </w:p>
        </w:tc>
      </w:tr>
      <w:tr>
        <w:tc>
          <w:tcPr>
            <w:tcW w:type="dxa" w:w="4320"/>
          </w:tcPr>
          <w:p>
            <w:r>
              <w:t>Website launch</w:t>
            </w:r>
          </w:p>
        </w:tc>
        <w:tc>
          <w:tcPr>
            <w:tcW w:type="dxa" w:w="4320"/>
          </w:tcPr>
          <w:p>
            <w:r>
              <w:t>Q1 2026</w:t>
            </w:r>
          </w:p>
        </w:tc>
      </w:tr>
    </w:tbl>
    <w:p/>
    <w:p>
      <w:pPr>
        <w:pStyle w:val="Heading2"/>
      </w:pPr>
      <w:r>
        <w:t>4.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Technogise (Internal)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