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STATEMENT OF WORK</w:t>
      </w:r>
    </w:p>
    <w:p>
      <w:pPr>
        <w:jc w:val="center"/>
      </w:pPr>
      <w:r>
        <w:rPr>
          <w:b/>
          <w:sz w:val="28"/>
        </w:rPr>
        <w:t>The Economist – Ad Revenue</w:t>
      </w:r>
    </w:p>
    <w:p>
      <w:pPr>
        <w:jc w:val="center"/>
      </w:pPr>
      <w:r>
        <w:rPr>
          <w:sz w:val="20"/>
        </w:rPr>
        <w:t>SOW Reference: TG-SOW-2026-009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The Economist Group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Technogise Solutions Pvt. Ltd.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Jan 1, 2026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Jun 30, 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p>
      <w:pPr>
        <w:pStyle w:val="Heading2"/>
      </w:pPr>
      <w:r>
        <w:t>1. Scope of Work</w:t>
      </w:r>
    </w:p>
    <w:p>
      <w:r>
        <w:t>Technogise shall provide consulting and development services for the The Economist – Ad Revenue engagement:</w:t>
      </w:r>
    </w:p>
    <w:p>
      <w:pPr>
        <w:pStyle w:val="ListBullet"/>
      </w:pPr>
      <w:r>
        <w:t>New ad-slot implementation on Home and Topic pages</w:t>
      </w:r>
    </w:p>
    <w:p>
      <w:pPr>
        <w:pStyle w:val="ListBullet"/>
      </w:pPr>
      <w:r>
        <w:t>ABS integration using Double Verify</w:t>
      </w:r>
    </w:p>
    <w:p>
      <w:pPr>
        <w:pStyle w:val="ListBullet"/>
      </w:pPr>
      <w:r>
        <w:t>Limited Ads feature development</w:t>
      </w:r>
    </w:p>
    <w:p>
      <w:pPr>
        <w:pStyle w:val="ListBullet"/>
      </w:pPr>
      <w:r>
        <w:t>App performance optimization (caching)</w:t>
      </w:r>
    </w:p>
    <w:p>
      <w:pPr>
        <w:pStyle w:val="ListBullet"/>
      </w:pPr>
      <w:r>
        <w:t>iOS compliance changes for ad slots</w:t>
      </w:r>
    </w:p>
    <w:p>
      <w:pPr>
        <w:pStyle w:val="Heading2"/>
      </w:pPr>
      <w:r>
        <w:t>2. Team Composition &amp; Billing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Rate (USD/hr)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Monthly Hours</w:t>
            </w:r>
          </w:p>
        </w:tc>
      </w:tr>
      <w:tr>
        <w:tc>
          <w:tcPr>
            <w:tcW w:type="dxa" w:w="1728"/>
          </w:tcPr>
          <w:p>
            <w:r>
              <w:t>Mahesh Lal</w:t>
            </w:r>
          </w:p>
        </w:tc>
        <w:tc>
          <w:tcPr>
            <w:tcW w:type="dxa" w:w="1728"/>
          </w:tcPr>
          <w:p>
            <w:r>
              <w:t>Principal Consultant</w:t>
            </w:r>
          </w:p>
        </w:tc>
        <w:tc>
          <w:tcPr>
            <w:tcW w:type="dxa" w:w="1728"/>
          </w:tcPr>
          <w:p>
            <w:r>
              <w:t>15%</w:t>
            </w:r>
          </w:p>
        </w:tc>
        <w:tc>
          <w:tcPr>
            <w:tcW w:type="dxa" w:w="1728"/>
          </w:tcPr>
          <w:p>
            <w:r>
              <w:t>$100</w:t>
            </w:r>
          </w:p>
        </w:tc>
        <w:tc>
          <w:tcPr>
            <w:tcW w:type="dxa" w:w="1728"/>
          </w:tcPr>
          <w:p>
            <w:r>
              <w:t>24</w:t>
            </w:r>
          </w:p>
        </w:tc>
      </w:tr>
      <w:tr>
        <w:tc>
          <w:tcPr>
            <w:tcW w:type="dxa" w:w="1728"/>
          </w:tcPr>
          <w:p>
            <w:r>
              <w:t>Ashutosh</w:t>
            </w:r>
          </w:p>
        </w:tc>
        <w:tc>
          <w:tcPr>
            <w:tcW w:type="dxa" w:w="1728"/>
          </w:tcPr>
          <w:p>
            <w:r>
              <w:t>Lead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$80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Rahul K.</w:t>
            </w:r>
          </w:p>
        </w:tc>
        <w:tc>
          <w:tcPr>
            <w:tcW w:type="dxa" w:w="1728"/>
          </w:tcPr>
          <w:p>
            <w:r>
              <w:t>Technology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$55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Saagar</w:t>
            </w:r>
          </w:p>
        </w:tc>
        <w:tc>
          <w:tcPr>
            <w:tcW w:type="dxa" w:w="1728"/>
          </w:tcPr>
          <w:p>
            <w:r>
              <w:t>Technology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$55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</w:tbl>
    <w:p/>
    <w:p>
      <w:pPr>
        <w:pStyle w:val="Heading2"/>
      </w:pPr>
      <w:r>
        <w:t>3. Deliverables &amp;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D1</w:t>
            </w:r>
          </w:p>
        </w:tc>
        <w:tc>
          <w:tcPr>
            <w:tcW w:type="dxa" w:w="2880"/>
          </w:tcPr>
          <w:p>
            <w:r>
              <w:t>New ad-slot implementation on Home and Topic pages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  <w:tr>
        <w:tc>
          <w:tcPr>
            <w:tcW w:type="dxa" w:w="2880"/>
          </w:tcPr>
          <w:p>
            <w:r>
              <w:t>D2</w:t>
            </w:r>
          </w:p>
        </w:tc>
        <w:tc>
          <w:tcPr>
            <w:tcW w:type="dxa" w:w="2880"/>
          </w:tcPr>
          <w:p>
            <w:r>
              <w:t>ABS integration using Double Verify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  <w:tr>
        <w:tc>
          <w:tcPr>
            <w:tcW w:type="dxa" w:w="2880"/>
          </w:tcPr>
          <w:p>
            <w:r>
              <w:t>D3</w:t>
            </w:r>
          </w:p>
        </w:tc>
        <w:tc>
          <w:tcPr>
            <w:tcW w:type="dxa" w:w="2880"/>
          </w:tcPr>
          <w:p>
            <w:r>
              <w:t>Limited Ads feature development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  <w:tr>
        <w:tc>
          <w:tcPr>
            <w:tcW w:type="dxa" w:w="2880"/>
          </w:tcPr>
          <w:p>
            <w:r>
              <w:t>D4</w:t>
            </w:r>
          </w:p>
        </w:tc>
        <w:tc>
          <w:tcPr>
            <w:tcW w:type="dxa" w:w="2880"/>
          </w:tcPr>
          <w:p>
            <w:r>
              <w:t>App performance optimization (caching)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  <w:tr>
        <w:tc>
          <w:tcPr>
            <w:tcW w:type="dxa" w:w="2880"/>
          </w:tcPr>
          <w:p>
            <w:r>
              <w:t>D5</w:t>
            </w:r>
          </w:p>
        </w:tc>
        <w:tc>
          <w:tcPr>
            <w:tcW w:type="dxa" w:w="2880"/>
          </w:tcPr>
          <w:p>
            <w:r>
              <w:t>iOS compliance changes for ad slots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</w:tbl>
    <w:p/>
    <w:p>
      <w:pPr>
        <w:pStyle w:val="Heading2"/>
      </w:pPr>
      <w:r>
        <w:t>4. Key Performance Indicators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Ad revenue uplift</w:t>
            </w:r>
          </w:p>
        </w:tc>
        <w:tc>
          <w:tcPr>
            <w:tcW w:type="dxa" w:w="4320"/>
          </w:tcPr>
          <w:p>
            <w:r>
              <w:t>≥10%</w:t>
            </w:r>
          </w:p>
        </w:tc>
      </w:tr>
      <w:tr>
        <w:tc>
          <w:tcPr>
            <w:tcW w:type="dxa" w:w="4320"/>
          </w:tcPr>
          <w:p>
            <w:r>
              <w:t>App load time improvement</w:t>
            </w:r>
          </w:p>
        </w:tc>
        <w:tc>
          <w:tcPr>
            <w:tcW w:type="dxa" w:w="4320"/>
          </w:tcPr>
          <w:p>
            <w:r>
              <w:t>≥10%</w:t>
            </w:r>
          </w:p>
        </w:tc>
      </w:tr>
      <w:tr>
        <w:tc>
          <w:tcPr>
            <w:tcW w:type="dxa" w:w="4320"/>
          </w:tcPr>
          <w:p>
            <w:r>
              <w:t>Crash-free sessions</w:t>
            </w:r>
          </w:p>
        </w:tc>
        <w:tc>
          <w:tcPr>
            <w:tcW w:type="dxa" w:w="4320"/>
          </w:tcPr>
          <w:p>
            <w:r>
              <w:t>≥99.5%</w:t>
            </w:r>
          </w:p>
        </w:tc>
      </w:tr>
    </w:tbl>
    <w:p/>
    <w:p>
      <w:pPr>
        <w:pStyle w:val="Heading2"/>
      </w:pPr>
      <w:r>
        <w:t>5. Assumptions &amp; Exclusions</w:t>
      </w:r>
    </w:p>
    <w:p>
      <w:pPr>
        <w:pStyle w:val="ListBullet"/>
      </w:pPr>
      <w:r>
        <w:t>Client provides timely access to environments and stakeholders.</w:t>
      </w:r>
    </w:p>
    <w:p>
      <w:pPr>
        <w:pStyle w:val="ListBullet"/>
      </w:pPr>
      <w:r>
        <w:t>Infrastructure and hosting costs borne by client.</w:t>
      </w:r>
    </w:p>
    <w:p>
      <w:pPr>
        <w:pStyle w:val="ListBullet"/>
      </w:pPr>
      <w:r>
        <w:t>Scope changes require formal Change Request approval.</w:t>
      </w:r>
    </w:p>
    <w:p>
      <w:pPr>
        <w:pStyle w:val="Heading2"/>
      </w:pPr>
      <w:r>
        <w:t>Signatures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For: Technogise Solutions Pvt. Ltd.</w:t>
            </w:r>
          </w:p>
        </w:tc>
        <w:tc>
          <w:tcPr>
            <w:tcW w:type="dxa" w:w="4320"/>
          </w:tcPr>
          <w:p>
            <w:r>
              <w:t>For: The Economist Group</w:t>
            </w:r>
          </w:p>
        </w:tc>
      </w:tr>
      <w:tr>
        <w:tc>
          <w:tcPr>
            <w:tcW w:type="dxa" w:w="4320"/>
          </w:tcPr>
          <w:p>
            <w:r>
              <w:t>Name: ___________________________</w:t>
            </w:r>
          </w:p>
        </w:tc>
        <w:tc>
          <w:tcPr>
            <w:tcW w:type="dxa" w:w="4320"/>
          </w:tcPr>
          <w:p>
            <w:r>
              <w:t>Name: ___________________________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___________________________</w:t>
            </w:r>
          </w:p>
        </w:tc>
        <w:tc>
          <w:tcPr>
            <w:tcW w:type="dxa" w:w="4320"/>
          </w:tcPr>
          <w:p>
            <w:r>
              <w:t>Date: 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