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Universal – Ether Platform</w:t>
      </w:r>
    </w:p>
    <w:p>
      <w:pPr>
        <w:jc w:val="center"/>
      </w:pPr>
      <w:r>
        <w:rPr>
          <w:sz w:val="20"/>
        </w:rPr>
        <w:t>SOW Reference: TG-SOW-2026-002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Universal Group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Technogise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Jan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Jun 30,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r>
        <w:t>Technogise shall provide consulting and development services for the Universal – Ether Platform engagement:</w:t>
      </w:r>
    </w:p>
    <w:p>
      <w:pPr>
        <w:pStyle w:val="ListBullet"/>
      </w:pPr>
      <w:r>
        <w:t>Onboarding first paying client school outside Universal Group</w:t>
      </w:r>
    </w:p>
    <w:p>
      <w:pPr>
        <w:pStyle w:val="ListBullet"/>
      </w:pPr>
      <w:r>
        <w:t>Payment gateway integrations — Easebuzz, GrayQuest, HDFC</w:t>
      </w:r>
    </w:p>
    <w:p>
      <w:pPr>
        <w:pStyle w:val="ListBullet"/>
      </w:pPr>
      <w:r>
        <w:t>Migration from Retool to custom React-based Admin UI</w:t>
      </w:r>
    </w:p>
    <w:p>
      <w:pPr>
        <w:pStyle w:val="ListBullet"/>
      </w:pPr>
      <w:r>
        <w:t>SSO implementation using Keycloak</w:t>
      </w:r>
    </w:p>
    <w:p>
      <w:pPr>
        <w:pStyle w:val="ListBullet"/>
      </w:pPr>
      <w:r>
        <w:t>Staff Attendance feature with biometric integration</w:t>
      </w:r>
    </w:p>
    <w:p>
      <w:pPr>
        <w:pStyle w:val="ListBullet"/>
      </w:pPr>
      <w:r>
        <w:t>Integration support for CRM, LMS, AI Answer Sheet Evaluation</w:t>
      </w:r>
    </w:p>
    <w:p>
      <w:pPr>
        <w:pStyle w:val="Heading2"/>
      </w:pPr>
      <w:r>
        <w:t>2. Team Composition &amp; Billing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(USD/hr)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Hours</w:t>
            </w:r>
          </w:p>
        </w:tc>
      </w:tr>
      <w:tr>
        <w:tc>
          <w:tcPr>
            <w:tcW w:type="dxa" w:w="1728"/>
          </w:tcPr>
          <w:p>
            <w:r>
              <w:t>Mahesh Lal</w:t>
            </w:r>
          </w:p>
        </w:tc>
        <w:tc>
          <w:tcPr>
            <w:tcW w:type="dxa" w:w="1728"/>
          </w:tcPr>
          <w:p>
            <w:r>
              <w:t>Principal Consultant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$85</w:t>
            </w:r>
          </w:p>
        </w:tc>
        <w:tc>
          <w:tcPr>
            <w:tcW w:type="dxa" w:w="1728"/>
          </w:tcPr>
          <w:p>
            <w:r>
              <w:t>40</w:t>
            </w:r>
          </w:p>
        </w:tc>
      </w:tr>
      <w:tr>
        <w:tc>
          <w:tcPr>
            <w:tcW w:type="dxa" w:w="1728"/>
          </w:tcPr>
          <w:p>
            <w:r>
              <w:t>Shrayas</w:t>
            </w:r>
          </w:p>
        </w:tc>
        <w:tc>
          <w:tcPr>
            <w:tcW w:type="dxa" w:w="1728"/>
          </w:tcPr>
          <w:p>
            <w:r>
              <w:t>Lead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$65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Vinit</w:t>
            </w:r>
          </w:p>
        </w:tc>
        <w:tc>
          <w:tcPr>
            <w:tcW w:type="dxa" w:w="1728"/>
          </w:tcPr>
          <w:p>
            <w:r>
              <w:t>Senior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Nupoor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$45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Vivek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$45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Shrikant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$45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</w:tbl>
    <w:p/>
    <w:p>
      <w:pPr>
        <w:pStyle w:val="Heading2"/>
      </w:pPr>
      <w:r>
        <w:t>3. Deliverables &amp;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Onboarding first paying client school outside Universal Group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Payment gateway integrations — Easebuzz, GrayQuest, HDFC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Migration from Retool to custom React-based Admin UI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SSO implementation using Keycloak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Staff Attendance feature with biometric integration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D6</w:t>
            </w:r>
          </w:p>
        </w:tc>
        <w:tc>
          <w:tcPr>
            <w:tcW w:type="dxa" w:w="2880"/>
          </w:tcPr>
          <w:p>
            <w:r>
              <w:t>Integration support for CRM, LMS, AI Answer Sheet Evaluation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</w:tbl>
    <w:p/>
    <w:p>
      <w:pPr>
        <w:pStyle w:val="Heading2"/>
      </w:pPr>
      <w:r>
        <w:t>4. 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Sprint delivery</w:t>
            </w:r>
          </w:p>
        </w:tc>
        <w:tc>
          <w:tcPr>
            <w:tcW w:type="dxa" w:w="4320"/>
          </w:tcPr>
          <w:p>
            <w:r>
              <w:t>≥85%</w:t>
            </w:r>
          </w:p>
        </w:tc>
      </w:tr>
      <w:tr>
        <w:tc>
          <w:tcPr>
            <w:tcW w:type="dxa" w:w="4320"/>
          </w:tcPr>
          <w:p>
            <w:r>
              <w:t>Retool cost reduction</w:t>
            </w:r>
          </w:p>
        </w:tc>
        <w:tc>
          <w:tcPr>
            <w:tcW w:type="dxa" w:w="4320"/>
          </w:tcPr>
          <w:p>
            <w:r>
              <w:t>$1500→&lt;$50/mo</w:t>
            </w:r>
          </w:p>
        </w:tc>
      </w:tr>
      <w:tr>
        <w:tc>
          <w:tcPr>
            <w:tcW w:type="dxa" w:w="4320"/>
          </w:tcPr>
          <w:p>
            <w:r>
              <w:t>Uptime</w:t>
            </w:r>
          </w:p>
        </w:tc>
        <w:tc>
          <w:tcPr>
            <w:tcW w:type="dxa" w:w="4320"/>
          </w:tcPr>
          <w:p>
            <w:r>
              <w:t>99.5%</w:t>
            </w:r>
          </w:p>
        </w:tc>
      </w:tr>
    </w:tbl>
    <w:p/>
    <w:p>
      <w:pPr>
        <w:pStyle w:val="Heading2"/>
      </w:pPr>
      <w:r>
        <w:t>5. Commercial Terms</w:t>
      </w:r>
    </w:p>
    <w:p>
      <w:r>
        <w:t>Estimated monthly value: $47,600</w:t>
      </w:r>
    </w:p>
    <w:p>
      <w:r>
        <w:t>Invoicing: Monthly in arrears based on actual hours logged in Kimai.</w:t>
      </w:r>
    </w:p>
    <w:p>
      <w:r>
        <w:t>Payment terms: Net 30 days from invoice date.</w:t>
      </w:r>
    </w:p>
    <w:p>
      <w:pPr>
        <w:pStyle w:val="Heading2"/>
      </w:pPr>
      <w:r>
        <w:t>6. Assumptions &amp; Exclusions</w:t>
      </w:r>
    </w:p>
    <w:p>
      <w:pPr>
        <w:pStyle w:val="ListBullet"/>
      </w:pPr>
      <w:r>
        <w:t>Client provides timely access to environments and stakeholders.</w:t>
      </w:r>
    </w:p>
    <w:p>
      <w:pPr>
        <w:pStyle w:val="ListBullet"/>
      </w:pPr>
      <w:r>
        <w:t>Infrastructure and hosting costs borne by client.</w:t>
      </w:r>
    </w:p>
    <w:p>
      <w:pPr>
        <w:pStyle w:val="ListBullet"/>
      </w:pPr>
      <w:r>
        <w:t>Scope changes require formal Change Request approval.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Technogise Solutions Pvt. Ltd.</w:t>
            </w:r>
          </w:p>
        </w:tc>
        <w:tc>
          <w:tcPr>
            <w:tcW w:type="dxa" w:w="4320"/>
          </w:tcPr>
          <w:p>
            <w:r>
              <w:t>For: Universal Group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