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F3A"/>
          <w:sz w:val="32"/>
        </w:rPr>
        <w:t>ASCENT-3 Independent Statistical Review Charter</w:t>
      </w:r>
    </w:p>
    <w:p>
      <w:pPr>
        <w:jc w:val="center"/>
      </w:pPr>
      <w:r>
        <w:rPr>
          <w:i/>
          <w:sz w:val="20"/>
        </w:rPr>
        <w:t>Protocol RZB441-UC-301 (ASCENT-3) — Week-24 DSMB Interim Integrity Re-Analysis</w:t>
      </w:r>
    </w:p>
    <w:p>
      <w:r>
        <w:rPr>
          <w:b/>
          <w:color w:val="13315C"/>
          <w:sz w:val="26"/>
        </w:rPr>
        <w:t>1. Background and Purpose</w:t>
      </w:r>
    </w:p>
    <w:p>
      <w:r>
        <w:t>The independent Data Safety Monitoring Board (DSMB) for ASCENT-3 has reviewed the sponsor biostatistics group's DRAFT Week-24 interim efficacy summary (ascent3_sponsor_interim_summary.pdf) and identified methodological concerns: the draft relies on crude responder proportions, pools rates without adjustment or weighting, and has not been reconciled against the data-management query log. Before the interim Clinical Study Report can proceed, the DSMB requires an independent, source-data-driven integrity re-analysis performed strictly in accordance with the final Statistical Analysis Plan (ascent3_SAP_synopsis.pdf).</w:t>
      </w:r>
    </w:p>
    <w:p>
      <w:r>
        <w:rPr>
          <w:b/>
          <w:color w:val="13315C"/>
          <w:sz w:val="26"/>
        </w:rPr>
        <w:t>2. Authoritative-Source Hierarchy</w:t>
      </w:r>
    </w:p>
    <w:p>
      <w:r>
        <w:t>Where any two inputs disagree, resolve the conflict using the following precedence, and document each resolution:</w:t>
      </w:r>
    </w:p>
    <w:p>
      <w:pPr>
        <w:pStyle w:val="ListBullet"/>
      </w:pPr>
      <w:r>
        <w:t>(a) Record validity is governed by the SAP record-validity rules together with the data-management query log (ascent3_data_query_log.csv) and the IWRS randomization schedule (ascent3_randomization_schedule.csv).</w:t>
      </w:r>
    </w:p>
    <w:p>
      <w:pPr>
        <w:pStyle w:val="ListBullet"/>
      </w:pPr>
      <w:r>
        <w:t>(b) Statistical METHOD is governed by the SAP, the applicable regulatory framework (ICH E9(R1), CONSORT 2010), and standard biostatistical practice for Phase III randomized controlled trials with incomplete follow-up.</w:t>
      </w:r>
    </w:p>
    <w:p>
      <w:pPr>
        <w:pStyle w:val="ListBullet"/>
      </w:pPr>
      <w:r>
        <w:t>(c) Numerical VALUES are governed by the subject-level and visit-level source data (ascent3_subject_level.csv, ascent3_visit_records.csv), NOT by the sponsor draft tables.</w:t>
      </w:r>
    </w:p>
    <w:p>
      <w:pPr>
        <w:pStyle w:val="ListBullet"/>
      </w:pPr>
      <w:r>
        <w:t>(d) The sponsor draft interim summary is the lowest-authority source; treat its figures and conclusions as claims to be verified or overturned, never as ground truth.</w:t>
      </w:r>
    </w:p>
    <w:p>
      <w:pPr>
        <w:pStyle w:val="ListBullet"/>
      </w:pPr>
      <w:r>
        <w:t>(e) Internal sponsor working notes and draft analysis memos do not supersede the final SAP or applicable regulatory guidance.</w:t>
      </w:r>
    </w:p>
    <w:p>
      <w:r>
        <w:rPr>
          <w:b/>
          <w:color w:val="13315C"/>
          <w:sz w:val="26"/>
        </w:rPr>
        <w:t>3. Required Analytical Questions</w:t>
      </w:r>
    </w:p>
    <w:p>
      <w:pPr>
        <w:pStyle w:val="ListNumber"/>
      </w:pPr>
      <w:r>
        <w:t>Q1. Population reconciliation: starting from the full clinical export, apply the SAP record-validity rules and the query log to derive the ITT and Per-Protocol populations; report how many records are excluded and why, and confirm the per-arm ITT counts.</w:t>
      </w:r>
    </w:p>
    <w:p>
      <w:pPr>
        <w:pStyle w:val="ListNumber"/>
      </w:pPr>
      <w:r>
        <w:t>Q2. Primary endpoint: estimate the Week-24 confirmed-remission rate per arm using the method appropriate for the data structure and regulatory framework, with 95% CIs and the rate difference with its 95% CI; contrast against the sponsor's figure and explain the direction and cause of any difference.</w:t>
      </w:r>
    </w:p>
    <w:p>
      <w:pPr>
        <w:pStyle w:val="ListNumber"/>
      </w:pPr>
      <w:r>
        <w:t>Q3. Go/No-Go: apply the SAP two-part decision rule to your primary estimate and state the interim decision unambiguously.</w:t>
      </w:r>
    </w:p>
    <w:p>
      <w:pPr>
        <w:pStyle w:val="ListNumber"/>
      </w:pPr>
      <w:r>
        <w:t>Q4. Severity consistency: assess the Week-8 response endpoint for potential confounding by baseline disease severity; report crude pooled and severity-adjusted estimates, and state which governs the interpretation and why.</w:t>
      </w:r>
    </w:p>
    <w:p>
      <w:pPr>
        <w:pStyle w:val="ListNumber"/>
      </w:pPr>
      <w:r>
        <w:t>Q5. Multi-center pooling: report the correct overall Week-8 response rate per arm and reconcile it against the sponsor draft's site-level overall figure.</w:t>
      </w:r>
    </w:p>
    <w:p>
      <w:pPr>
        <w:pStyle w:val="ListNumber"/>
      </w:pPr>
      <w:r>
        <w:t>Q6. Confirmatory sizing: re-estimate the confirmatory-study sample size under both the originally assumed effect and the corrected interim effect.</w:t>
      </w:r>
    </w:p>
    <w:p>
      <w:r>
        <w:rPr>
          <w:b/>
          <w:color w:val="13315C"/>
          <w:sz w:val="26"/>
        </w:rPr>
        <w:t>4. Decision Rule (restated from SAP §4)</w:t>
      </w:r>
    </w:p>
    <w:p>
      <w:r>
        <w:t>GO requires BOTH: (i) the lower bound of the two-sided 95% CI for the primary Week-24 remission-rate difference exceeds 0; AND (ii) the point estimate of that difference is at least 10.0 percentage points (the pre-specified MCID). A statistically significant effect below the MCID is a NO-GO.</w:t>
      </w:r>
    </w:p>
    <w:p>
      <w:r>
        <w:rPr>
          <w:b/>
          <w:color w:val="13315C"/>
          <w:sz w:val="26"/>
        </w:rPr>
        <w:t>5. External Regulatory Standards</w:t>
      </w:r>
    </w:p>
    <w:p>
      <w:r>
        <w:t>The re-analysis must be consistent with ICH E9(R1) (estimands, ITT principle, analysis populations) and CONSORT 2010 (subject-disposition accounting, reporting of exclusions and baseline imbalance). Reference URLs are provided in the task External Links field and within the analysis prompt.</w:t>
      </w:r>
    </w:p>
    <w:p>
      <w:r>
        <w:rPr>
          <w:b/>
          <w:color w:val="13315C"/>
          <w:sz w:val="26"/>
        </w:rPr>
        <w:t>6. Required Deliverables</w:t>
      </w:r>
    </w:p>
    <w:p>
      <w:r>
        <w:t>An analysis workbook, an independent statistical review report, and a structured reconciliation log, as specified in the analysis request. All headline figures must be traceable to the source data and the SAP-mandated methods.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