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3A" w14:textId="53ED3172" w:rsidR="007B0660" w:rsidRPr="007B0660" w:rsidRDefault="007B0660" w:rsidP="007B0660">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7B0660">
        <w:rPr>
          <w:rFonts w:ascii="Arial" w:eastAsia="Times New Roman" w:hAnsi="Arial" w:cs="Arial"/>
          <w:b/>
          <w:bCs/>
          <w:color w:val="05192D"/>
          <w:kern w:val="0"/>
          <w:sz w:val="44"/>
          <w:szCs w:val="44"/>
          <w14:ligatures w14:val="none"/>
        </w:rPr>
        <w:t xml:space="preserve">Attention mechanisms for text </w:t>
      </w:r>
      <w:proofErr w:type="gramStart"/>
      <w:r w:rsidRPr="007B0660">
        <w:rPr>
          <w:rFonts w:ascii="Arial" w:eastAsia="Times New Roman" w:hAnsi="Arial" w:cs="Arial"/>
          <w:b/>
          <w:bCs/>
          <w:color w:val="05192D"/>
          <w:kern w:val="0"/>
          <w:sz w:val="44"/>
          <w:szCs w:val="44"/>
          <w14:ligatures w14:val="none"/>
        </w:rPr>
        <w:t>generation</w:t>
      </w:r>
      <w:proofErr w:type="gramEnd"/>
    </w:p>
    <w:p w14:paraId="47180381" w14:textId="77777777" w:rsidR="007B0660" w:rsidRPr="007B0660" w:rsidRDefault="007B0660" w:rsidP="007B0660">
      <w:pPr>
        <w:shd w:val="clear" w:color="auto" w:fill="F7F7FC"/>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Let's review the transformer's attention mechanism.</w:t>
      </w:r>
    </w:p>
    <w:p w14:paraId="7F4B3404" w14:textId="506F2BB9"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The ambiguity in text processing</w:t>
      </w:r>
    </w:p>
    <w:p w14:paraId="36C68D28" w14:textId="77777777"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Look at this sentence: The monkey ate that banana because it was too hungry. For humans, pinpointing what the word "it" refers to is an easy task. The ambiguity of "it" can lead to misunderstandings in machines, especially in tasks like translation.</w:t>
      </w:r>
    </w:p>
    <w:p w14:paraId="7A220801" w14:textId="14F68594"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 xml:space="preserve">Attention </w:t>
      </w:r>
      <w:proofErr w:type="gramStart"/>
      <w:r w:rsidRPr="007B0660">
        <w:rPr>
          <w:rFonts w:ascii="Arial" w:eastAsia="Times New Roman" w:hAnsi="Arial" w:cs="Arial"/>
          <w:b/>
          <w:bCs/>
          <w:color w:val="05192D"/>
          <w:kern w:val="0"/>
          <w:sz w:val="24"/>
          <w:szCs w:val="24"/>
          <w14:ligatures w14:val="none"/>
        </w:rPr>
        <w:t>mechanisms</w:t>
      </w:r>
      <w:proofErr w:type="gramEnd"/>
    </w:p>
    <w:p w14:paraId="5D59176D" w14:textId="112B532E" w:rsidR="007B0660" w:rsidRPr="007B0660" w:rsidRDefault="007B0660" w:rsidP="007B0660">
      <w:pPr>
        <w:spacing w:after="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The Attention Mechanism in the transformer assigns importance to words within a sentence. For our example, 'it' is understood to be more related to '</w:t>
      </w:r>
      <w:proofErr w:type="spellStart"/>
      <w:r w:rsidRPr="007B0660">
        <w:rPr>
          <w:rFonts w:ascii="Arial" w:eastAsia="Times New Roman" w:hAnsi="Arial" w:cs="Arial"/>
          <w:color w:val="05192D"/>
          <w:kern w:val="0"/>
          <w:sz w:val="24"/>
          <w:szCs w:val="24"/>
          <w14:ligatures w14:val="none"/>
        </w:rPr>
        <w:t>the','monkey</w:t>
      </w:r>
      <w:proofErr w:type="spellEnd"/>
      <w:r w:rsidRPr="007B0660">
        <w:rPr>
          <w:rFonts w:ascii="Arial" w:eastAsia="Times New Roman" w:hAnsi="Arial" w:cs="Arial"/>
          <w:color w:val="05192D"/>
          <w:kern w:val="0"/>
          <w:sz w:val="24"/>
          <w:szCs w:val="24"/>
          <w14:ligatures w14:val="none"/>
        </w:rPr>
        <w:t>' and 'banana' in descending order of significance. This ensures that in tasks like translation, the machine's interpretation aligns with the human understanding.</w:t>
      </w:r>
    </w:p>
    <w:p w14:paraId="3A7AA4A5" w14:textId="4ED8A2C1" w:rsid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drawing>
          <wp:inline distT="0" distB="0" distL="0" distR="0" wp14:anchorId="48C7F43C" wp14:editId="2FCC52C7">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6860"/>
                    </a:xfrm>
                    <a:prstGeom prst="rect">
                      <a:avLst/>
                    </a:prstGeom>
                  </pic:spPr>
                </pic:pic>
              </a:graphicData>
            </a:graphic>
          </wp:inline>
        </w:drawing>
      </w:r>
    </w:p>
    <w:p w14:paraId="5972BE53" w14:textId="77777777" w:rsidR="007B0660" w:rsidRDefault="007B0660" w:rsidP="007B0660">
      <w:pPr>
        <w:spacing w:after="0" w:line="240" w:lineRule="auto"/>
        <w:outlineLvl w:val="1"/>
        <w:rPr>
          <w:rFonts w:ascii="Arial" w:eastAsia="Times New Roman" w:hAnsi="Arial" w:cs="Arial"/>
          <w:b/>
          <w:bCs/>
          <w:color w:val="05192D"/>
          <w:kern w:val="0"/>
          <w:sz w:val="24"/>
          <w:szCs w:val="24"/>
          <w14:ligatures w14:val="none"/>
        </w:rPr>
      </w:pPr>
    </w:p>
    <w:p w14:paraId="067CBB63" w14:textId="2F09E072"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Self and multi-head attention</w:t>
      </w:r>
    </w:p>
    <w:p w14:paraId="3B1F537E" w14:textId="51C72B73"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The attention mechanism contains both self and multi-head attention. Self-Attention assigns significance to words within a sentence. In "The cat, which was on the roof, was scared," the mechanism links "was scared" directly to "The cat". Multi-Head Attention is akin to deploying multiple spotlights. In the same example, "was scared" could relate to "The cat," signify "the roof," or point to "was on".</w:t>
      </w:r>
    </w:p>
    <w:p w14:paraId="6E178A1A" w14:textId="67E8ABA4"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4E0F28E8" wp14:editId="31CEB304">
            <wp:simplePos x="0" y="0"/>
            <wp:positionH relativeFrom="column">
              <wp:posOffset>-17253</wp:posOffset>
            </wp:positionH>
            <wp:positionV relativeFrom="paragraph">
              <wp:posOffset>41406</wp:posOffset>
            </wp:positionV>
            <wp:extent cx="5943600" cy="2266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anchor>
        </w:drawing>
      </w:r>
    </w:p>
    <w:p w14:paraId="3853EC42" w14:textId="77777777" w:rsidR="007B0660" w:rsidRDefault="007B0660" w:rsidP="007B0660">
      <w:pPr>
        <w:spacing w:after="120" w:line="240" w:lineRule="auto"/>
        <w:rPr>
          <w:rFonts w:ascii="Arial" w:eastAsia="Times New Roman" w:hAnsi="Arial" w:cs="Arial"/>
          <w:color w:val="05192D"/>
          <w:kern w:val="0"/>
          <w:sz w:val="24"/>
          <w:szCs w:val="24"/>
          <w14:ligatures w14:val="none"/>
        </w:rPr>
      </w:pPr>
    </w:p>
    <w:p w14:paraId="15273DE7" w14:textId="77777777" w:rsidR="007B0660" w:rsidRDefault="007B0660" w:rsidP="007B0660">
      <w:pPr>
        <w:spacing w:after="120" w:line="240" w:lineRule="auto"/>
        <w:rPr>
          <w:rFonts w:ascii="Arial" w:eastAsia="Times New Roman" w:hAnsi="Arial" w:cs="Arial"/>
          <w:color w:val="05192D"/>
          <w:kern w:val="0"/>
          <w:sz w:val="24"/>
          <w:szCs w:val="24"/>
          <w14:ligatures w14:val="none"/>
        </w:rPr>
      </w:pPr>
    </w:p>
    <w:p w14:paraId="1A6C0C5F" w14:textId="77777777" w:rsidR="007B0660" w:rsidRDefault="007B0660" w:rsidP="007B0660">
      <w:pPr>
        <w:spacing w:after="120" w:line="240" w:lineRule="auto"/>
        <w:rPr>
          <w:rFonts w:ascii="Arial" w:eastAsia="Times New Roman" w:hAnsi="Arial" w:cs="Arial"/>
          <w:color w:val="05192D"/>
          <w:kern w:val="0"/>
          <w:sz w:val="24"/>
          <w:szCs w:val="24"/>
          <w14:ligatures w14:val="none"/>
        </w:rPr>
      </w:pPr>
    </w:p>
    <w:p w14:paraId="6D6E8054" w14:textId="77777777" w:rsidR="007B0660" w:rsidRDefault="007B0660" w:rsidP="007B0660">
      <w:pPr>
        <w:spacing w:after="120" w:line="240" w:lineRule="auto"/>
        <w:rPr>
          <w:rFonts w:ascii="Arial" w:eastAsia="Times New Roman" w:hAnsi="Arial" w:cs="Arial"/>
          <w:color w:val="05192D"/>
          <w:kern w:val="0"/>
          <w:sz w:val="24"/>
          <w:szCs w:val="24"/>
          <w14:ligatures w14:val="none"/>
        </w:rPr>
      </w:pPr>
    </w:p>
    <w:p w14:paraId="3B45F8B4" w14:textId="77777777" w:rsidR="007B0660" w:rsidRDefault="007B0660" w:rsidP="007B0660">
      <w:pPr>
        <w:spacing w:after="120" w:line="240" w:lineRule="auto"/>
        <w:rPr>
          <w:rFonts w:ascii="Arial" w:eastAsia="Times New Roman" w:hAnsi="Arial" w:cs="Arial"/>
          <w:color w:val="05192D"/>
          <w:kern w:val="0"/>
          <w:sz w:val="24"/>
          <w:szCs w:val="24"/>
          <w14:ligatures w14:val="none"/>
        </w:rPr>
      </w:pPr>
    </w:p>
    <w:p w14:paraId="3912F6D3" w14:textId="29A0AC9E" w:rsidR="007B0660" w:rsidRPr="007B0660" w:rsidRDefault="007B0660" w:rsidP="007B0660">
      <w:pPr>
        <w:spacing w:after="120" w:line="240" w:lineRule="auto"/>
        <w:rPr>
          <w:rFonts w:ascii="Arial" w:eastAsia="Times New Roman" w:hAnsi="Arial" w:cs="Arial"/>
          <w:color w:val="05192D"/>
          <w:kern w:val="0"/>
          <w:sz w:val="24"/>
          <w:szCs w:val="24"/>
          <w14:ligatures w14:val="none"/>
        </w:rPr>
      </w:pPr>
    </w:p>
    <w:p w14:paraId="3BD2EB4E" w14:textId="09F32404"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lastRenderedPageBreak/>
        <w:t xml:space="preserve">Attention mechanism - setting vocabulary and </w:t>
      </w:r>
      <w:proofErr w:type="gramStart"/>
      <w:r w:rsidRPr="007B0660">
        <w:rPr>
          <w:rFonts w:ascii="Arial" w:eastAsia="Times New Roman" w:hAnsi="Arial" w:cs="Arial"/>
          <w:b/>
          <w:bCs/>
          <w:color w:val="05192D"/>
          <w:kern w:val="0"/>
          <w:sz w:val="24"/>
          <w:szCs w:val="24"/>
          <w14:ligatures w14:val="none"/>
        </w:rPr>
        <w:t>data</w:t>
      </w:r>
      <w:proofErr w:type="gramEnd"/>
    </w:p>
    <w:p w14:paraId="1BC15E76" w14:textId="77777777"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Let's explore a self-attention example with a synthetic dataset named data. Using this, we create a vocabulary set. For efficient processing, we map each word to an index for training and vice versa for testing. Sentences are transformed into input and target pairs, where input contains all words except the last, and the target is the last word.</w:t>
      </w:r>
    </w:p>
    <w:p w14:paraId="7785CE64" w14:textId="43BC2AAF"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drawing>
          <wp:inline distT="0" distB="0" distL="0" distR="0" wp14:anchorId="24BE5D35" wp14:editId="37AD2E9D">
            <wp:extent cx="5943600" cy="2512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2060"/>
                    </a:xfrm>
                    <a:prstGeom prst="rect">
                      <a:avLst/>
                    </a:prstGeom>
                  </pic:spPr>
                </pic:pic>
              </a:graphicData>
            </a:graphic>
          </wp:inline>
        </w:drawing>
      </w:r>
    </w:p>
    <w:p w14:paraId="6451A830" w14:textId="56FED9B7"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 xml:space="preserve">Model </w:t>
      </w:r>
      <w:proofErr w:type="gramStart"/>
      <w:r w:rsidRPr="007B0660">
        <w:rPr>
          <w:rFonts w:ascii="Arial" w:eastAsia="Times New Roman" w:hAnsi="Arial" w:cs="Arial"/>
          <w:b/>
          <w:bCs/>
          <w:color w:val="05192D"/>
          <w:kern w:val="0"/>
          <w:sz w:val="24"/>
          <w:szCs w:val="24"/>
          <w14:ligatures w14:val="none"/>
        </w:rPr>
        <w:t>definition</w:t>
      </w:r>
      <w:proofErr w:type="gramEnd"/>
    </w:p>
    <w:p w14:paraId="500F5D80" w14:textId="77777777"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 xml:space="preserve">We set dimensions with an </w:t>
      </w:r>
      <w:proofErr w:type="spellStart"/>
      <w:r w:rsidRPr="007B0660">
        <w:rPr>
          <w:rFonts w:ascii="Arial" w:eastAsia="Times New Roman" w:hAnsi="Arial" w:cs="Arial"/>
          <w:color w:val="05192D"/>
          <w:kern w:val="0"/>
          <w:sz w:val="24"/>
          <w:szCs w:val="24"/>
          <w14:ligatures w14:val="none"/>
        </w:rPr>
        <w:t>embedding_dim</w:t>
      </w:r>
      <w:proofErr w:type="spellEnd"/>
      <w:r w:rsidRPr="007B0660">
        <w:rPr>
          <w:rFonts w:ascii="Arial" w:eastAsia="Times New Roman" w:hAnsi="Arial" w:cs="Arial"/>
          <w:color w:val="05192D"/>
          <w:kern w:val="0"/>
          <w:sz w:val="24"/>
          <w:szCs w:val="24"/>
          <w14:ligatures w14:val="none"/>
        </w:rPr>
        <w:t xml:space="preserve"> of 10 and </w:t>
      </w:r>
      <w:proofErr w:type="spellStart"/>
      <w:r w:rsidRPr="007B0660">
        <w:rPr>
          <w:rFonts w:ascii="Arial" w:eastAsia="Times New Roman" w:hAnsi="Arial" w:cs="Arial"/>
          <w:color w:val="05192D"/>
          <w:kern w:val="0"/>
          <w:sz w:val="24"/>
          <w:szCs w:val="24"/>
          <w14:ligatures w14:val="none"/>
        </w:rPr>
        <w:t>hidden_dim</w:t>
      </w:r>
      <w:proofErr w:type="spellEnd"/>
      <w:r w:rsidRPr="007B0660">
        <w:rPr>
          <w:rFonts w:ascii="Arial" w:eastAsia="Times New Roman" w:hAnsi="Arial" w:cs="Arial"/>
          <w:color w:val="05192D"/>
          <w:kern w:val="0"/>
          <w:sz w:val="24"/>
          <w:szCs w:val="24"/>
          <w14:ligatures w14:val="none"/>
        </w:rPr>
        <w:t xml:space="preserve"> of 16, balancing granularity and efficiency; increasing them may lead to overfitting. </w:t>
      </w:r>
      <w:proofErr w:type="spellStart"/>
      <w:r w:rsidRPr="007B0660">
        <w:rPr>
          <w:rFonts w:ascii="Arial" w:eastAsia="Times New Roman" w:hAnsi="Arial" w:cs="Arial"/>
          <w:color w:val="05192D"/>
          <w:kern w:val="0"/>
          <w:sz w:val="24"/>
          <w:szCs w:val="24"/>
          <w14:ligatures w14:val="none"/>
        </w:rPr>
        <w:t>RNNWithAttentionModel</w:t>
      </w:r>
      <w:proofErr w:type="spellEnd"/>
      <w:r w:rsidRPr="007B0660">
        <w:rPr>
          <w:rFonts w:ascii="Arial" w:eastAsia="Times New Roman" w:hAnsi="Arial" w:cs="Arial"/>
          <w:color w:val="05192D"/>
          <w:kern w:val="0"/>
          <w:sz w:val="24"/>
          <w:szCs w:val="24"/>
          <w14:ligatures w14:val="none"/>
        </w:rPr>
        <w:t xml:space="preserve"> extends </w:t>
      </w:r>
      <w:proofErr w:type="spellStart"/>
      <w:r w:rsidRPr="007B0660">
        <w:rPr>
          <w:rFonts w:ascii="Arial" w:eastAsia="Times New Roman" w:hAnsi="Arial" w:cs="Arial"/>
          <w:color w:val="05192D"/>
          <w:kern w:val="0"/>
          <w:sz w:val="24"/>
          <w:szCs w:val="24"/>
          <w14:ligatures w14:val="none"/>
        </w:rPr>
        <w:t>nn</w:t>
      </w:r>
      <w:proofErr w:type="spellEnd"/>
      <w:r w:rsidRPr="007B0660">
        <w:rPr>
          <w:rFonts w:ascii="Arial" w:eastAsia="Times New Roman" w:hAnsi="Arial" w:cs="Arial"/>
          <w:color w:val="05192D"/>
          <w:kern w:val="0"/>
          <w:sz w:val="24"/>
          <w:szCs w:val="24"/>
          <w14:ligatures w14:val="none"/>
        </w:rPr>
        <w:t xml:space="preserve">-dot-Module; it houses </w:t>
      </w:r>
      <w:proofErr w:type="spellStart"/>
      <w:r w:rsidRPr="007B0660">
        <w:rPr>
          <w:rFonts w:ascii="Arial" w:eastAsia="Times New Roman" w:hAnsi="Arial" w:cs="Arial"/>
          <w:color w:val="05192D"/>
          <w:kern w:val="0"/>
          <w:sz w:val="24"/>
          <w:szCs w:val="24"/>
          <w14:ligatures w14:val="none"/>
        </w:rPr>
        <w:t>an</w:t>
      </w:r>
      <w:proofErr w:type="spellEnd"/>
      <w:r w:rsidRPr="007B0660">
        <w:rPr>
          <w:rFonts w:ascii="Arial" w:eastAsia="Times New Roman" w:hAnsi="Arial" w:cs="Arial"/>
          <w:color w:val="05192D"/>
          <w:kern w:val="0"/>
          <w:sz w:val="24"/>
          <w:szCs w:val="24"/>
          <w14:ligatures w14:val="none"/>
        </w:rPr>
        <w:t xml:space="preserve"> embedding layer translating word indexes to vectors and an RNN layer for sequential processing. The attention layer computes word significance scores, performing a linear transformation of </w:t>
      </w:r>
      <w:proofErr w:type="spellStart"/>
      <w:r w:rsidRPr="007B0660">
        <w:rPr>
          <w:rFonts w:ascii="Arial" w:eastAsia="Times New Roman" w:hAnsi="Arial" w:cs="Arial"/>
          <w:color w:val="05192D"/>
          <w:kern w:val="0"/>
          <w:sz w:val="24"/>
          <w:szCs w:val="24"/>
          <w14:ligatures w14:val="none"/>
        </w:rPr>
        <w:t>hidden_dim</w:t>
      </w:r>
      <w:proofErr w:type="spellEnd"/>
      <w:r w:rsidRPr="007B0660">
        <w:rPr>
          <w:rFonts w:ascii="Arial" w:eastAsia="Times New Roman" w:hAnsi="Arial" w:cs="Arial"/>
          <w:color w:val="05192D"/>
          <w:kern w:val="0"/>
          <w:sz w:val="24"/>
          <w:szCs w:val="24"/>
          <w14:ligatures w14:val="none"/>
        </w:rPr>
        <w:t xml:space="preserve"> to one, yielding a singular attention score per word. Finally, the fc layer, outputting </w:t>
      </w:r>
      <w:proofErr w:type="spellStart"/>
      <w:r w:rsidRPr="007B0660">
        <w:rPr>
          <w:rFonts w:ascii="Arial" w:eastAsia="Times New Roman" w:hAnsi="Arial" w:cs="Arial"/>
          <w:color w:val="05192D"/>
          <w:kern w:val="0"/>
          <w:sz w:val="24"/>
          <w:szCs w:val="24"/>
          <w14:ligatures w14:val="none"/>
        </w:rPr>
        <w:t>vocab_size</w:t>
      </w:r>
      <w:proofErr w:type="spellEnd"/>
      <w:r w:rsidRPr="007B0660">
        <w:rPr>
          <w:rFonts w:ascii="Arial" w:eastAsia="Times New Roman" w:hAnsi="Arial" w:cs="Arial"/>
          <w:color w:val="05192D"/>
          <w:kern w:val="0"/>
          <w:sz w:val="24"/>
          <w:szCs w:val="24"/>
          <w14:ligatures w14:val="none"/>
        </w:rPr>
        <w:t>, pinpoints the predicted word's index.</w:t>
      </w:r>
    </w:p>
    <w:p w14:paraId="40526F88" w14:textId="149E5C07"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drawing>
          <wp:inline distT="0" distB="0" distL="0" distR="0" wp14:anchorId="1A3D2E32" wp14:editId="6453A77B">
            <wp:extent cx="5943600" cy="2854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4960"/>
                    </a:xfrm>
                    <a:prstGeom prst="rect">
                      <a:avLst/>
                    </a:prstGeom>
                  </pic:spPr>
                </pic:pic>
              </a:graphicData>
            </a:graphic>
          </wp:inline>
        </w:drawing>
      </w:r>
    </w:p>
    <w:p w14:paraId="7882CB7E" w14:textId="343B036A"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Forward propagation with attention</w:t>
      </w:r>
    </w:p>
    <w:p w14:paraId="528CE1B6" w14:textId="77777777"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lastRenderedPageBreak/>
        <w:t xml:space="preserve">In the forward method, word indexes are embedded, and the RNN layer processes them, generating outputs for each word. Next, attention scores are derived by applying a linear transformation to the RNN outputs, normalizing using </w:t>
      </w:r>
      <w:proofErr w:type="spellStart"/>
      <w:r w:rsidRPr="007B0660">
        <w:rPr>
          <w:rFonts w:ascii="Arial" w:eastAsia="Times New Roman" w:hAnsi="Arial" w:cs="Arial"/>
          <w:color w:val="05192D"/>
          <w:kern w:val="0"/>
          <w:sz w:val="24"/>
          <w:szCs w:val="24"/>
          <w14:ligatures w14:val="none"/>
        </w:rPr>
        <w:t>softmax</w:t>
      </w:r>
      <w:proofErr w:type="spellEnd"/>
      <w:r w:rsidRPr="007B0660">
        <w:rPr>
          <w:rFonts w:ascii="Arial" w:eastAsia="Times New Roman" w:hAnsi="Arial" w:cs="Arial"/>
          <w:color w:val="05192D"/>
          <w:kern w:val="0"/>
          <w:sz w:val="24"/>
          <w:szCs w:val="24"/>
          <w14:ligatures w14:val="none"/>
        </w:rPr>
        <w:t xml:space="preserve">, and reshaping the tensor using squeeze two to simplify attention calculations. Following, a context vector is formulated by multiplying attention scores with RNN outputs, creating a weighted sum of the outputs, where weights are the attention scores. The </w:t>
      </w:r>
      <w:proofErr w:type="spellStart"/>
      <w:r w:rsidRPr="007B0660">
        <w:rPr>
          <w:rFonts w:ascii="Arial" w:eastAsia="Times New Roman" w:hAnsi="Arial" w:cs="Arial"/>
          <w:color w:val="05192D"/>
          <w:kern w:val="0"/>
          <w:sz w:val="24"/>
          <w:szCs w:val="24"/>
          <w14:ligatures w14:val="none"/>
        </w:rPr>
        <w:t>unsqueeze</w:t>
      </w:r>
      <w:proofErr w:type="spellEnd"/>
      <w:r w:rsidRPr="007B0660">
        <w:rPr>
          <w:rFonts w:ascii="Arial" w:eastAsia="Times New Roman" w:hAnsi="Arial" w:cs="Arial"/>
          <w:color w:val="05192D"/>
          <w:kern w:val="0"/>
          <w:sz w:val="24"/>
          <w:szCs w:val="24"/>
          <w14:ligatures w14:val="none"/>
        </w:rPr>
        <w:t xml:space="preserve"> two operation is important for adjusting tensor dimensions for matrix multiplication with RNN outputs. The context vector is then summed using torch-dot-sum to feed into the fc layer for the final prediction. Lastly, the </w:t>
      </w:r>
      <w:proofErr w:type="spellStart"/>
      <w:r w:rsidRPr="007B0660">
        <w:rPr>
          <w:rFonts w:ascii="Arial" w:eastAsia="Times New Roman" w:hAnsi="Arial" w:cs="Arial"/>
          <w:color w:val="05192D"/>
          <w:kern w:val="0"/>
          <w:sz w:val="24"/>
          <w:szCs w:val="24"/>
          <w14:ligatures w14:val="none"/>
        </w:rPr>
        <w:t>pad_sequences</w:t>
      </w:r>
      <w:proofErr w:type="spellEnd"/>
      <w:r w:rsidRPr="007B0660">
        <w:rPr>
          <w:rFonts w:ascii="Arial" w:eastAsia="Times New Roman" w:hAnsi="Arial" w:cs="Arial"/>
          <w:color w:val="05192D"/>
          <w:kern w:val="0"/>
          <w:sz w:val="24"/>
          <w:szCs w:val="24"/>
          <w14:ligatures w14:val="none"/>
        </w:rPr>
        <w:t xml:space="preserve"> function ensures consistent sequence lengths by padding the input sequences with torch-dot-cat and torch-dot-stack, avoiding any potential length discrepancies and errors.</w:t>
      </w:r>
    </w:p>
    <w:p w14:paraId="3B832937" w14:textId="38104A97"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drawing>
          <wp:inline distT="0" distB="0" distL="0" distR="0" wp14:anchorId="640A5AD2" wp14:editId="71A091CA">
            <wp:extent cx="5943600" cy="2856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6865"/>
                    </a:xfrm>
                    <a:prstGeom prst="rect">
                      <a:avLst/>
                    </a:prstGeom>
                  </pic:spPr>
                </pic:pic>
              </a:graphicData>
            </a:graphic>
          </wp:inline>
        </w:drawing>
      </w:r>
    </w:p>
    <w:p w14:paraId="01BBDA7D" w14:textId="69EA4C7C"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Training preparation</w:t>
      </w:r>
    </w:p>
    <w:p w14:paraId="512D43D9" w14:textId="77777777" w:rsid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 xml:space="preserve">We initialize criterion with </w:t>
      </w:r>
      <w:proofErr w:type="spellStart"/>
      <w:r w:rsidRPr="007B0660">
        <w:rPr>
          <w:rFonts w:ascii="Arial" w:eastAsia="Times New Roman" w:hAnsi="Arial" w:cs="Arial"/>
          <w:color w:val="05192D"/>
          <w:kern w:val="0"/>
          <w:sz w:val="24"/>
          <w:szCs w:val="24"/>
          <w14:ligatures w14:val="none"/>
        </w:rPr>
        <w:t>CrossEntropyLoss</w:t>
      </w:r>
      <w:proofErr w:type="spellEnd"/>
      <w:r w:rsidRPr="007B0660">
        <w:rPr>
          <w:rFonts w:ascii="Arial" w:eastAsia="Times New Roman" w:hAnsi="Arial" w:cs="Arial"/>
          <w:color w:val="05192D"/>
          <w:kern w:val="0"/>
          <w:sz w:val="24"/>
          <w:szCs w:val="24"/>
          <w14:ligatures w14:val="none"/>
        </w:rPr>
        <w:t xml:space="preserve">. After initializing our model, we choose the Adam optimizer for adaptive gradient updates. The training loop spans 300 epochs, with the model entering training mode at each epoch's beginning, and gradients reset to avoid accumulation. The </w:t>
      </w:r>
      <w:proofErr w:type="spellStart"/>
      <w:r w:rsidRPr="007B0660">
        <w:rPr>
          <w:rFonts w:ascii="Arial" w:eastAsia="Times New Roman" w:hAnsi="Arial" w:cs="Arial"/>
          <w:color w:val="05192D"/>
          <w:kern w:val="0"/>
          <w:sz w:val="24"/>
          <w:szCs w:val="24"/>
          <w14:ligatures w14:val="none"/>
        </w:rPr>
        <w:t>pad_sequences</w:t>
      </w:r>
      <w:proofErr w:type="spellEnd"/>
      <w:r w:rsidRPr="007B0660">
        <w:rPr>
          <w:rFonts w:ascii="Arial" w:eastAsia="Times New Roman" w:hAnsi="Arial" w:cs="Arial"/>
          <w:color w:val="05192D"/>
          <w:kern w:val="0"/>
          <w:sz w:val="24"/>
          <w:szCs w:val="24"/>
          <w14:ligatures w14:val="none"/>
        </w:rPr>
        <w:t xml:space="preserve"> function ensures consistent input dimensions, after which the model generates predictions. The criterion measures how off these predictions are, and via backpropagation, updates the model's weights.</w:t>
      </w:r>
    </w:p>
    <w:p w14:paraId="5799F1D7" w14:textId="28E250DC"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lastRenderedPageBreak/>
        <w:drawing>
          <wp:inline distT="0" distB="0" distL="0" distR="0" wp14:anchorId="0D44CB23" wp14:editId="3C880276">
            <wp:extent cx="5943600" cy="2908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8300"/>
                    </a:xfrm>
                    <a:prstGeom prst="rect">
                      <a:avLst/>
                    </a:prstGeom>
                  </pic:spPr>
                </pic:pic>
              </a:graphicData>
            </a:graphic>
          </wp:inline>
        </w:drawing>
      </w:r>
    </w:p>
    <w:p w14:paraId="5090B4B2" w14:textId="46EC14E4" w:rsidR="007B0660" w:rsidRPr="007B0660" w:rsidRDefault="007B0660" w:rsidP="007B0660">
      <w:pPr>
        <w:spacing w:after="0" w:line="240" w:lineRule="auto"/>
        <w:outlineLvl w:val="1"/>
        <w:rPr>
          <w:rFonts w:ascii="Arial" w:eastAsia="Times New Roman" w:hAnsi="Arial" w:cs="Arial"/>
          <w:b/>
          <w:bCs/>
          <w:color w:val="05192D"/>
          <w:kern w:val="0"/>
          <w:sz w:val="24"/>
          <w:szCs w:val="24"/>
          <w14:ligatures w14:val="none"/>
        </w:rPr>
      </w:pPr>
      <w:r w:rsidRPr="007B0660">
        <w:rPr>
          <w:rFonts w:ascii="Arial" w:eastAsia="Times New Roman" w:hAnsi="Arial" w:cs="Arial"/>
          <w:b/>
          <w:bCs/>
          <w:color w:val="05192D"/>
          <w:kern w:val="0"/>
          <w:sz w:val="24"/>
          <w:szCs w:val="24"/>
          <w14:ligatures w14:val="none"/>
        </w:rPr>
        <w:t xml:space="preserve">Model </w:t>
      </w:r>
      <w:proofErr w:type="gramStart"/>
      <w:r w:rsidRPr="007B0660">
        <w:rPr>
          <w:rFonts w:ascii="Arial" w:eastAsia="Times New Roman" w:hAnsi="Arial" w:cs="Arial"/>
          <w:b/>
          <w:bCs/>
          <w:color w:val="05192D"/>
          <w:kern w:val="0"/>
          <w:sz w:val="24"/>
          <w:szCs w:val="24"/>
          <w14:ligatures w14:val="none"/>
        </w:rPr>
        <w:t>evaluation</w:t>
      </w:r>
      <w:proofErr w:type="gramEnd"/>
    </w:p>
    <w:p w14:paraId="3B53CC58" w14:textId="77777777" w:rsidR="007B0660" w:rsidRPr="007B0660" w:rsidRDefault="007B0660" w:rsidP="007B0660">
      <w:pPr>
        <w:spacing w:after="120" w:line="240" w:lineRule="auto"/>
        <w:rPr>
          <w:rFonts w:ascii="Arial" w:eastAsia="Times New Roman" w:hAnsi="Arial" w:cs="Arial"/>
          <w:color w:val="05192D"/>
          <w:kern w:val="0"/>
          <w:sz w:val="24"/>
          <w:szCs w:val="24"/>
          <w14:ligatures w14:val="none"/>
        </w:rPr>
      </w:pPr>
      <w:r w:rsidRPr="007B0660">
        <w:rPr>
          <w:rFonts w:ascii="Arial" w:eastAsia="Times New Roman" w:hAnsi="Arial" w:cs="Arial"/>
          <w:color w:val="05192D"/>
          <w:kern w:val="0"/>
          <w:sz w:val="24"/>
          <w:szCs w:val="24"/>
          <w14:ligatures w14:val="none"/>
        </w:rPr>
        <w:t xml:space="preserve">We begin evaluation by converting input sequences into tensors with an added batch dimension using </w:t>
      </w:r>
      <w:proofErr w:type="spellStart"/>
      <w:r w:rsidRPr="007B0660">
        <w:rPr>
          <w:rFonts w:ascii="Arial" w:eastAsia="Times New Roman" w:hAnsi="Arial" w:cs="Arial"/>
          <w:color w:val="05192D"/>
          <w:kern w:val="0"/>
          <w:sz w:val="24"/>
          <w:szCs w:val="24"/>
          <w14:ligatures w14:val="none"/>
        </w:rPr>
        <w:t>unsqueeze</w:t>
      </w:r>
      <w:proofErr w:type="spellEnd"/>
      <w:r w:rsidRPr="007B0660">
        <w:rPr>
          <w:rFonts w:ascii="Arial" w:eastAsia="Times New Roman" w:hAnsi="Arial" w:cs="Arial"/>
          <w:color w:val="05192D"/>
          <w:kern w:val="0"/>
          <w:sz w:val="24"/>
          <w:szCs w:val="24"/>
          <w14:ligatures w14:val="none"/>
        </w:rPr>
        <w:t>, allowing batched processing. Transitioning the model to evaluation mode ensures deterministic behavior. The highest score in the model's output corresponds to the predicted word, and torch-dot-argmax retrieves this index. With this index, we look up our vocabulary and present the input, the true target, and our model's prediction, showcasing its efficacy in context prediction. The output shows the next word in the sequence was correctly predicted.</w:t>
      </w:r>
    </w:p>
    <w:p w14:paraId="50CE1C77" w14:textId="233F0C0B" w:rsidR="007B0660" w:rsidRDefault="007B0660">
      <w:r w:rsidRPr="007B0660">
        <w:drawing>
          <wp:inline distT="0" distB="0" distL="0" distR="0" wp14:anchorId="44BDC5CE" wp14:editId="7BD08BEC">
            <wp:extent cx="594360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110"/>
                    </a:xfrm>
                    <a:prstGeom prst="rect">
                      <a:avLst/>
                    </a:prstGeom>
                  </pic:spPr>
                </pic:pic>
              </a:graphicData>
            </a:graphic>
          </wp:inline>
        </w:drawing>
      </w:r>
    </w:p>
    <w:sectPr w:rsidR="007B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E52"/>
    <w:multiLevelType w:val="multilevel"/>
    <w:tmpl w:val="DCEE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32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60"/>
    <w:rsid w:val="00505296"/>
    <w:rsid w:val="007B06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78D5"/>
  <w15:chartTrackingRefBased/>
  <w15:docId w15:val="{21387B55-838A-4784-B202-9767D9B9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66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66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B06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1962">
      <w:bodyDiv w:val="1"/>
      <w:marLeft w:val="0"/>
      <w:marRight w:val="0"/>
      <w:marTop w:val="0"/>
      <w:marBottom w:val="0"/>
      <w:divBdr>
        <w:top w:val="none" w:sz="0" w:space="0" w:color="auto"/>
        <w:left w:val="none" w:sz="0" w:space="0" w:color="auto"/>
        <w:bottom w:val="none" w:sz="0" w:space="0" w:color="auto"/>
        <w:right w:val="none" w:sz="0" w:space="0" w:color="auto"/>
      </w:divBdr>
      <w:divsChild>
        <w:div w:id="2110926808">
          <w:marLeft w:val="0"/>
          <w:marRight w:val="0"/>
          <w:marTop w:val="120"/>
          <w:marBottom w:val="120"/>
          <w:divBdr>
            <w:top w:val="none" w:sz="0" w:space="0" w:color="auto"/>
            <w:left w:val="single" w:sz="24" w:space="12" w:color="5EB1FF"/>
            <w:bottom w:val="none" w:sz="0" w:space="0" w:color="auto"/>
            <w:right w:val="none" w:sz="0" w:space="0" w:color="auto"/>
          </w:divBdr>
          <w:divsChild>
            <w:div w:id="1551842802">
              <w:marLeft w:val="0"/>
              <w:marRight w:val="0"/>
              <w:marTop w:val="0"/>
              <w:marBottom w:val="0"/>
              <w:divBdr>
                <w:top w:val="none" w:sz="0" w:space="0" w:color="auto"/>
                <w:left w:val="none" w:sz="0" w:space="0" w:color="auto"/>
                <w:bottom w:val="none" w:sz="0" w:space="0" w:color="auto"/>
                <w:right w:val="none" w:sz="0" w:space="0" w:color="auto"/>
              </w:divBdr>
            </w:div>
          </w:divsChild>
        </w:div>
        <w:div w:id="2126382087">
          <w:marLeft w:val="0"/>
          <w:marRight w:val="0"/>
          <w:marTop w:val="120"/>
          <w:marBottom w:val="120"/>
          <w:divBdr>
            <w:top w:val="none" w:sz="0" w:space="0" w:color="auto"/>
            <w:left w:val="none" w:sz="0" w:space="0" w:color="auto"/>
            <w:bottom w:val="none" w:sz="0" w:space="0" w:color="auto"/>
            <w:right w:val="none" w:sz="0" w:space="0" w:color="auto"/>
          </w:divBdr>
          <w:divsChild>
            <w:div w:id="2087528044">
              <w:marLeft w:val="0"/>
              <w:marRight w:val="0"/>
              <w:marTop w:val="0"/>
              <w:marBottom w:val="0"/>
              <w:divBdr>
                <w:top w:val="none" w:sz="0" w:space="0" w:color="auto"/>
                <w:left w:val="none" w:sz="0" w:space="0" w:color="auto"/>
                <w:bottom w:val="none" w:sz="0" w:space="0" w:color="auto"/>
                <w:right w:val="none" w:sz="0" w:space="0" w:color="auto"/>
              </w:divBdr>
            </w:div>
          </w:divsChild>
        </w:div>
        <w:div w:id="1288510695">
          <w:marLeft w:val="0"/>
          <w:marRight w:val="0"/>
          <w:marTop w:val="120"/>
          <w:marBottom w:val="120"/>
          <w:divBdr>
            <w:top w:val="none" w:sz="0" w:space="0" w:color="auto"/>
            <w:left w:val="none" w:sz="0" w:space="0" w:color="auto"/>
            <w:bottom w:val="none" w:sz="0" w:space="0" w:color="auto"/>
            <w:right w:val="none" w:sz="0" w:space="0" w:color="auto"/>
          </w:divBdr>
          <w:divsChild>
            <w:div w:id="468522446">
              <w:marLeft w:val="0"/>
              <w:marRight w:val="0"/>
              <w:marTop w:val="0"/>
              <w:marBottom w:val="0"/>
              <w:divBdr>
                <w:top w:val="none" w:sz="0" w:space="0" w:color="auto"/>
                <w:left w:val="none" w:sz="0" w:space="0" w:color="auto"/>
                <w:bottom w:val="none" w:sz="0" w:space="0" w:color="auto"/>
                <w:right w:val="none" w:sz="0" w:space="0" w:color="auto"/>
              </w:divBdr>
            </w:div>
          </w:divsChild>
        </w:div>
        <w:div w:id="565989332">
          <w:marLeft w:val="0"/>
          <w:marRight w:val="0"/>
          <w:marTop w:val="120"/>
          <w:marBottom w:val="120"/>
          <w:divBdr>
            <w:top w:val="none" w:sz="0" w:space="0" w:color="auto"/>
            <w:left w:val="none" w:sz="0" w:space="0" w:color="auto"/>
            <w:bottom w:val="none" w:sz="0" w:space="0" w:color="auto"/>
            <w:right w:val="none" w:sz="0" w:space="0" w:color="auto"/>
          </w:divBdr>
          <w:divsChild>
            <w:div w:id="1684937457">
              <w:marLeft w:val="0"/>
              <w:marRight w:val="0"/>
              <w:marTop w:val="0"/>
              <w:marBottom w:val="0"/>
              <w:divBdr>
                <w:top w:val="none" w:sz="0" w:space="0" w:color="auto"/>
                <w:left w:val="none" w:sz="0" w:space="0" w:color="auto"/>
                <w:bottom w:val="none" w:sz="0" w:space="0" w:color="auto"/>
                <w:right w:val="none" w:sz="0" w:space="0" w:color="auto"/>
              </w:divBdr>
            </w:div>
          </w:divsChild>
        </w:div>
        <w:div w:id="542639120">
          <w:marLeft w:val="0"/>
          <w:marRight w:val="0"/>
          <w:marTop w:val="120"/>
          <w:marBottom w:val="120"/>
          <w:divBdr>
            <w:top w:val="none" w:sz="0" w:space="0" w:color="auto"/>
            <w:left w:val="none" w:sz="0" w:space="0" w:color="auto"/>
            <w:bottom w:val="none" w:sz="0" w:space="0" w:color="auto"/>
            <w:right w:val="none" w:sz="0" w:space="0" w:color="auto"/>
          </w:divBdr>
          <w:divsChild>
            <w:div w:id="307444094">
              <w:marLeft w:val="0"/>
              <w:marRight w:val="0"/>
              <w:marTop w:val="0"/>
              <w:marBottom w:val="0"/>
              <w:divBdr>
                <w:top w:val="none" w:sz="0" w:space="0" w:color="auto"/>
                <w:left w:val="none" w:sz="0" w:space="0" w:color="auto"/>
                <w:bottom w:val="none" w:sz="0" w:space="0" w:color="auto"/>
                <w:right w:val="none" w:sz="0" w:space="0" w:color="auto"/>
              </w:divBdr>
            </w:div>
          </w:divsChild>
        </w:div>
        <w:div w:id="400834788">
          <w:marLeft w:val="0"/>
          <w:marRight w:val="0"/>
          <w:marTop w:val="120"/>
          <w:marBottom w:val="120"/>
          <w:divBdr>
            <w:top w:val="none" w:sz="0" w:space="0" w:color="auto"/>
            <w:left w:val="none" w:sz="0" w:space="0" w:color="auto"/>
            <w:bottom w:val="none" w:sz="0" w:space="0" w:color="auto"/>
            <w:right w:val="none" w:sz="0" w:space="0" w:color="auto"/>
          </w:divBdr>
          <w:divsChild>
            <w:div w:id="1761217387">
              <w:marLeft w:val="0"/>
              <w:marRight w:val="0"/>
              <w:marTop w:val="0"/>
              <w:marBottom w:val="0"/>
              <w:divBdr>
                <w:top w:val="none" w:sz="0" w:space="0" w:color="auto"/>
                <w:left w:val="none" w:sz="0" w:space="0" w:color="auto"/>
                <w:bottom w:val="none" w:sz="0" w:space="0" w:color="auto"/>
                <w:right w:val="none" w:sz="0" w:space="0" w:color="auto"/>
              </w:divBdr>
            </w:div>
          </w:divsChild>
        </w:div>
        <w:div w:id="1678654695">
          <w:marLeft w:val="0"/>
          <w:marRight w:val="0"/>
          <w:marTop w:val="120"/>
          <w:marBottom w:val="120"/>
          <w:divBdr>
            <w:top w:val="none" w:sz="0" w:space="0" w:color="auto"/>
            <w:left w:val="none" w:sz="0" w:space="0" w:color="auto"/>
            <w:bottom w:val="none" w:sz="0" w:space="0" w:color="auto"/>
            <w:right w:val="none" w:sz="0" w:space="0" w:color="auto"/>
          </w:divBdr>
          <w:divsChild>
            <w:div w:id="264924110">
              <w:marLeft w:val="0"/>
              <w:marRight w:val="0"/>
              <w:marTop w:val="0"/>
              <w:marBottom w:val="0"/>
              <w:divBdr>
                <w:top w:val="none" w:sz="0" w:space="0" w:color="auto"/>
                <w:left w:val="none" w:sz="0" w:space="0" w:color="auto"/>
                <w:bottom w:val="none" w:sz="0" w:space="0" w:color="auto"/>
                <w:right w:val="none" w:sz="0" w:space="0" w:color="auto"/>
              </w:divBdr>
            </w:div>
          </w:divsChild>
        </w:div>
        <w:div w:id="1044864253">
          <w:marLeft w:val="0"/>
          <w:marRight w:val="0"/>
          <w:marTop w:val="120"/>
          <w:marBottom w:val="120"/>
          <w:divBdr>
            <w:top w:val="none" w:sz="0" w:space="0" w:color="auto"/>
            <w:left w:val="none" w:sz="0" w:space="0" w:color="auto"/>
            <w:bottom w:val="none" w:sz="0" w:space="0" w:color="auto"/>
            <w:right w:val="none" w:sz="0" w:space="0" w:color="auto"/>
          </w:divBdr>
          <w:divsChild>
            <w:div w:id="79061948">
              <w:marLeft w:val="0"/>
              <w:marRight w:val="0"/>
              <w:marTop w:val="0"/>
              <w:marBottom w:val="0"/>
              <w:divBdr>
                <w:top w:val="none" w:sz="0" w:space="0" w:color="auto"/>
                <w:left w:val="none" w:sz="0" w:space="0" w:color="auto"/>
                <w:bottom w:val="none" w:sz="0" w:space="0" w:color="auto"/>
                <w:right w:val="none" w:sz="0" w:space="0" w:color="auto"/>
              </w:divBdr>
            </w:div>
          </w:divsChild>
        </w:div>
        <w:div w:id="589772030">
          <w:marLeft w:val="0"/>
          <w:marRight w:val="0"/>
          <w:marTop w:val="120"/>
          <w:marBottom w:val="120"/>
          <w:divBdr>
            <w:top w:val="none" w:sz="0" w:space="0" w:color="auto"/>
            <w:left w:val="none" w:sz="0" w:space="0" w:color="auto"/>
            <w:bottom w:val="none" w:sz="0" w:space="0" w:color="auto"/>
            <w:right w:val="none" w:sz="0" w:space="0" w:color="auto"/>
          </w:divBdr>
          <w:divsChild>
            <w:div w:id="498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2024-08-06T15:03:00Z</dcterms:created>
  <dcterms:modified xsi:type="dcterms:W3CDTF">2024-08-06T15:50:00Z</dcterms:modified>
</cp:coreProperties>
</file>