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Decision Intelligence Platform</w:t>
      </w:r>
    </w:p>
    <w:p>
      <w:pPr>
        <w:jc w:val="center"/>
      </w:pPr>
      <w:r>
        <w:rPr>
          <w:i/>
          <w:color w:val="3B4150"/>
          <w:sz w:val="24"/>
        </w:rPr>
        <w:t>KPI Feasibility Assessment — Current Table Structure vs. Platform Requirements</w:t>
      </w:r>
    </w:p>
    <w:p/>
    <w:p>
      <w:r>
        <w:rPr>
          <w:b w:val="0"/>
          <w:i w:val="0"/>
          <w:sz w:val="20"/>
        </w:rPr>
        <w:t>This document analyses the two tables provided by the data team against every KPI, chart, and calculated field displayed in the Decision Intelligence Platform. For each item it states whether the data is sufficient, what can be calculated as-is, and what additional fields or tables must be requested.</w:t>
      </w:r>
    </w:p>
    <w:p/>
    <w:p>
      <w:pPr>
        <w:pStyle w:val="Heading1"/>
      </w:pPr>
      <w:r>
        <w:rPr>
          <w:color w:val="0F172A"/>
          <w:sz w:val="28"/>
        </w:rPr>
        <w:t>1.  Data Team Input — Tables Provided</w:t>
      </w:r>
    </w:p>
    <w:p>
      <w:r>
        <w:rPr>
          <w:b w:val="0"/>
          <w:i w:val="0"/>
          <w:sz w:val="20"/>
        </w:rPr>
        <w:t>The data team has supplied two tables, shown below.</w:t>
      </w:r>
    </w:p>
    <w:p/>
    <w:p>
      <w:pPr>
        <w:pStyle w:val="Heading2"/>
      </w:pPr>
      <w:r>
        <w:rPr>
          <w:color w:val="2563EB"/>
          <w:sz w:val="24"/>
        </w:rPr>
        <w:t>Table 1 — Demand Forecasting</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Column</w:t>
            </w:r>
          </w:p>
        </w:tc>
        <w:tc>
          <w:tcPr>
            <w:tcW w:type="dxa" w:w="4703"/>
            <w:shd w:val="clear" w:color="auto" w:fill="1E40AF"/>
          </w:tcPr>
          <w:p>
            <w:r>
              <w:rPr>
                <w:b/>
                <w:color w:val="FFFFFF"/>
                <w:sz w:val="18"/>
              </w:rPr>
              <w:t>Description</w:t>
            </w:r>
          </w:p>
        </w:tc>
      </w:tr>
      <w:tr>
        <w:tc>
          <w:tcPr>
            <w:tcW w:type="dxa" w:w="4703"/>
          </w:tcPr>
          <w:p>
            <w:r>
              <w:rPr>
                <w:sz w:val="18"/>
              </w:rPr>
              <w:t>Store</w:t>
            </w:r>
          </w:p>
        </w:tc>
        <w:tc>
          <w:tcPr>
            <w:tcW w:type="dxa" w:w="4703"/>
          </w:tcPr>
          <w:p>
            <w:r>
              <w:rPr>
                <w:sz w:val="18"/>
              </w:rPr>
              <w:t>Store identifier</w:t>
            </w:r>
          </w:p>
        </w:tc>
      </w:tr>
      <w:tr>
        <w:tc>
          <w:tcPr>
            <w:tcW w:type="dxa" w:w="4703"/>
            <w:shd w:val="clear" w:color="auto" w:fill="EFF6FF"/>
          </w:tcPr>
          <w:p>
            <w:r>
              <w:rPr>
                <w:sz w:val="18"/>
              </w:rPr>
              <w:t>SKU</w:t>
            </w:r>
          </w:p>
        </w:tc>
        <w:tc>
          <w:tcPr>
            <w:tcW w:type="dxa" w:w="4703"/>
            <w:shd w:val="clear" w:color="auto" w:fill="EFF6FF"/>
          </w:tcPr>
          <w:p>
            <w:r>
              <w:rPr>
                <w:sz w:val="18"/>
              </w:rPr>
              <w:t>SKU identifier</w:t>
            </w:r>
          </w:p>
        </w:tc>
      </w:tr>
      <w:tr>
        <w:tc>
          <w:tcPr>
            <w:tcW w:type="dxa" w:w="4703"/>
          </w:tcPr>
          <w:p>
            <w:r>
              <w:rPr>
                <w:sz w:val="18"/>
              </w:rPr>
              <w:t>Date</w:t>
            </w:r>
          </w:p>
        </w:tc>
        <w:tc>
          <w:tcPr>
            <w:tcW w:type="dxa" w:w="4703"/>
          </w:tcPr>
          <w:p>
            <w:r>
              <w:rPr>
                <w:sz w:val="18"/>
              </w:rPr>
              <w:t>Date of the record (weekly grain assumed)</w:t>
            </w:r>
          </w:p>
        </w:tc>
      </w:tr>
      <w:tr>
        <w:tc>
          <w:tcPr>
            <w:tcW w:type="dxa" w:w="4703"/>
            <w:shd w:val="clear" w:color="auto" w:fill="EFF6FF"/>
          </w:tcPr>
          <w:p>
            <w:r>
              <w:rPr>
                <w:sz w:val="18"/>
              </w:rPr>
              <w:t>Baseline</w:t>
            </w:r>
          </w:p>
        </w:tc>
        <w:tc>
          <w:tcPr>
            <w:tcW w:type="dxa" w:w="4703"/>
            <w:shd w:val="clear" w:color="auto" w:fill="EFF6FF"/>
          </w:tcPr>
          <w:p>
            <w:r>
              <w:rPr>
                <w:sz w:val="18"/>
              </w:rPr>
              <w:t>Baseline demand forecast (units)</w:t>
            </w:r>
          </w:p>
        </w:tc>
      </w:tr>
      <w:tr>
        <w:tc>
          <w:tcPr>
            <w:tcW w:type="dxa" w:w="4703"/>
          </w:tcPr>
          <w:p>
            <w:r>
              <w:rPr>
                <w:sz w:val="18"/>
              </w:rPr>
              <w:t>Promo units</w:t>
            </w:r>
          </w:p>
        </w:tc>
        <w:tc>
          <w:tcPr>
            <w:tcW w:type="dxa" w:w="4703"/>
          </w:tcPr>
          <w:p>
            <w:r>
              <w:rPr>
                <w:sz w:val="18"/>
              </w:rPr>
              <w:t>Incremental units from promotional activity</w:t>
            </w:r>
          </w:p>
        </w:tc>
      </w:tr>
      <w:tr>
        <w:tc>
          <w:tcPr>
            <w:tcW w:type="dxa" w:w="4703"/>
            <w:shd w:val="clear" w:color="auto" w:fill="EFF6FF"/>
          </w:tcPr>
          <w:p>
            <w:r>
              <w:rPr>
                <w:sz w:val="18"/>
              </w:rPr>
              <w:t>Weather units</w:t>
            </w:r>
          </w:p>
        </w:tc>
        <w:tc>
          <w:tcPr>
            <w:tcW w:type="dxa" w:w="4703"/>
            <w:shd w:val="clear" w:color="auto" w:fill="EFF6FF"/>
          </w:tcPr>
          <w:p>
            <w:r>
              <w:rPr>
                <w:sz w:val="18"/>
              </w:rPr>
              <w:t>Incremental units driven by weather conditions</w:t>
            </w:r>
          </w:p>
        </w:tc>
      </w:tr>
      <w:tr>
        <w:tc>
          <w:tcPr>
            <w:tcW w:type="dxa" w:w="4703"/>
          </w:tcPr>
          <w:p>
            <w:r>
              <w:rPr>
                <w:sz w:val="18"/>
              </w:rPr>
              <w:t>Festival units</w:t>
            </w:r>
          </w:p>
        </w:tc>
        <w:tc>
          <w:tcPr>
            <w:tcW w:type="dxa" w:w="4703"/>
          </w:tcPr>
          <w:p>
            <w:r>
              <w:rPr>
                <w:sz w:val="18"/>
              </w:rPr>
              <w:t>Incremental units driven by festival/seasonal demand</w:t>
            </w:r>
          </w:p>
        </w:tc>
      </w:tr>
    </w:tbl>
    <w:p/>
    <w:p>
      <w:pPr>
        <w:pStyle w:val="Heading2"/>
      </w:pPr>
      <w:r>
        <w:rPr>
          <w:color w:val="2563EB"/>
          <w:sz w:val="24"/>
        </w:rPr>
        <w:t>Table 2 — On-Hand Inventory</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Column</w:t>
            </w:r>
          </w:p>
        </w:tc>
        <w:tc>
          <w:tcPr>
            <w:tcW w:type="dxa" w:w="4703"/>
            <w:shd w:val="clear" w:color="auto" w:fill="1E40AF"/>
          </w:tcPr>
          <w:p>
            <w:r>
              <w:rPr>
                <w:b/>
                <w:color w:val="FFFFFF"/>
                <w:sz w:val="18"/>
              </w:rPr>
              <w:t>Description</w:t>
            </w:r>
          </w:p>
        </w:tc>
      </w:tr>
      <w:tr>
        <w:tc>
          <w:tcPr>
            <w:tcW w:type="dxa" w:w="4703"/>
          </w:tcPr>
          <w:p>
            <w:r>
              <w:rPr>
                <w:sz w:val="18"/>
              </w:rPr>
              <w:t>Store</w:t>
            </w:r>
          </w:p>
        </w:tc>
        <w:tc>
          <w:tcPr>
            <w:tcW w:type="dxa" w:w="4703"/>
          </w:tcPr>
          <w:p>
            <w:r>
              <w:rPr>
                <w:sz w:val="18"/>
              </w:rPr>
              <w:t>Store identifier</w:t>
            </w:r>
          </w:p>
        </w:tc>
      </w:tr>
      <w:tr>
        <w:tc>
          <w:tcPr>
            <w:tcW w:type="dxa" w:w="4703"/>
            <w:shd w:val="clear" w:color="auto" w:fill="EFF6FF"/>
          </w:tcPr>
          <w:p>
            <w:r>
              <w:rPr>
                <w:sz w:val="18"/>
              </w:rPr>
              <w:t>SKU</w:t>
            </w:r>
          </w:p>
        </w:tc>
        <w:tc>
          <w:tcPr>
            <w:tcW w:type="dxa" w:w="4703"/>
            <w:shd w:val="clear" w:color="auto" w:fill="EFF6FF"/>
          </w:tcPr>
          <w:p>
            <w:r>
              <w:rPr>
                <w:sz w:val="18"/>
              </w:rPr>
              <w:t>SKU identifier</w:t>
            </w:r>
          </w:p>
        </w:tc>
      </w:tr>
      <w:tr>
        <w:tc>
          <w:tcPr>
            <w:tcW w:type="dxa" w:w="4703"/>
          </w:tcPr>
          <w:p>
            <w:r>
              <w:rPr>
                <w:sz w:val="18"/>
              </w:rPr>
              <w:t>Date</w:t>
            </w:r>
          </w:p>
        </w:tc>
        <w:tc>
          <w:tcPr>
            <w:tcW w:type="dxa" w:w="4703"/>
          </w:tcPr>
          <w:p>
            <w:r>
              <w:rPr>
                <w:sz w:val="18"/>
              </w:rPr>
              <w:t>Date of the record</w:t>
            </w:r>
          </w:p>
        </w:tc>
      </w:tr>
      <w:tr>
        <w:tc>
          <w:tcPr>
            <w:tcW w:type="dxa" w:w="4703"/>
            <w:shd w:val="clear" w:color="auto" w:fill="EFF6FF"/>
          </w:tcPr>
          <w:p>
            <w:r>
              <w:rPr>
                <w:sz w:val="18"/>
              </w:rPr>
              <w:t>on-hand inventory</w:t>
            </w:r>
          </w:p>
        </w:tc>
        <w:tc>
          <w:tcPr>
            <w:tcW w:type="dxa" w:w="4703"/>
            <w:shd w:val="clear" w:color="auto" w:fill="EFF6FF"/>
          </w:tcPr>
          <w:p>
            <w:r>
              <w:rPr>
                <w:sz w:val="18"/>
              </w:rPr>
              <w:t>Current physical stock units in the store</w:t>
            </w:r>
          </w:p>
        </w:tc>
      </w:tr>
      <w:tr>
        <w:tc>
          <w:tcPr>
            <w:tcW w:type="dxa" w:w="4703"/>
          </w:tcPr>
          <w:p>
            <w:r>
              <w:rPr>
                <w:sz w:val="18"/>
              </w:rPr>
              <w:t>Replenishment quantity</w:t>
            </w:r>
          </w:p>
        </w:tc>
        <w:tc>
          <w:tcPr>
            <w:tcW w:type="dxa" w:w="4703"/>
          </w:tcPr>
          <w:p>
            <w:r>
              <w:rPr>
                <w:sz w:val="18"/>
              </w:rPr>
              <w:t>Pre-computed recommended order quantity</w:t>
            </w:r>
          </w:p>
        </w:tc>
      </w:tr>
      <w:tr>
        <w:tc>
          <w:tcPr>
            <w:tcW w:type="dxa" w:w="4703"/>
            <w:shd w:val="clear" w:color="auto" w:fill="EFF6FF"/>
          </w:tcPr>
          <w:p>
            <w:r>
              <w:rPr>
                <w:sz w:val="18"/>
              </w:rPr>
              <w:t>ROP</w:t>
            </w:r>
          </w:p>
        </w:tc>
        <w:tc>
          <w:tcPr>
            <w:tcW w:type="dxa" w:w="4703"/>
            <w:shd w:val="clear" w:color="auto" w:fill="EFF6FF"/>
          </w:tcPr>
          <w:p>
            <w:r>
              <w:rPr>
                <w:sz w:val="18"/>
              </w:rPr>
              <w:t>Reorder point (safety stock + demand over lead time)</w:t>
            </w:r>
          </w:p>
        </w:tc>
      </w:tr>
    </w:tbl>
    <w:p/>
    <w:p>
      <w:pPr>
        <w:pStyle w:val="Heading1"/>
      </w:pPr>
      <w:r>
        <w:rPr>
          <w:color w:val="0F172A"/>
          <w:sz w:val="28"/>
        </w:rPr>
        <w:t>2.  Overview Screen — 5 KPI Tiles</w:t>
      </w:r>
    </w:p>
    <w:p>
      <w:r>
        <w:rPr>
          <w:b w:val="0"/>
          <w:i w:val="0"/>
          <w:sz w:val="20"/>
        </w:rPr>
        <w:t>These are the five large metric cards at the top of the Overview screen. One set of values is shown per store.</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KPI Tile</w:t>
            </w:r>
          </w:p>
        </w:tc>
        <w:tc>
          <w:tcPr>
            <w:tcW w:type="dxa" w:w="3135"/>
            <w:shd w:val="clear" w:color="auto" w:fill="1E40AF"/>
          </w:tcPr>
          <w:p>
            <w:r>
              <w:rPr>
                <w:b/>
                <w:color w:val="FFFFFF"/>
                <w:sz w:val="18"/>
              </w:rPr>
              <w:t>Can it be calculated?</w:t>
            </w:r>
          </w:p>
        </w:tc>
        <w:tc>
          <w:tcPr>
            <w:tcW w:type="dxa" w:w="3135"/>
            <w:shd w:val="clear" w:color="auto" w:fill="1E40AF"/>
          </w:tcPr>
          <w:p>
            <w:r>
              <w:rPr>
                <w:b/>
                <w:color w:val="FFFFFF"/>
                <w:sz w:val="18"/>
              </w:rPr>
              <w:t>What is missing</w:t>
            </w:r>
          </w:p>
        </w:tc>
      </w:tr>
      <w:tr>
        <w:tc>
          <w:tcPr>
            <w:tcW w:type="dxa" w:w="3135"/>
          </w:tcPr>
          <w:p>
            <w:r>
              <w:rPr>
                <w:sz w:val="18"/>
              </w:rPr>
              <w:t>Service Level %</w:t>
              <w:br/>
              <w:t>(orders fulfilled without stockout)</w:t>
            </w:r>
          </w:p>
        </w:tc>
        <w:tc>
          <w:tcPr>
            <w:tcW w:type="dxa" w:w="3135"/>
            <w:shd w:val="clear" w:color="auto" w:fill="FEE2E2"/>
          </w:tcPr>
          <w:p>
            <w:r>
              <w:rPr>
                <w:sz w:val="18"/>
              </w:rPr>
              <w:t>Cannot Calculate</w:t>
            </w:r>
          </w:p>
        </w:tc>
        <w:tc>
          <w:tcPr>
            <w:tcW w:type="dxa" w:w="3135"/>
          </w:tcPr>
          <w:p>
            <w:r>
              <w:rPr>
                <w:sz w:val="18"/>
              </w:rPr>
              <w:t>Requires fulfilled order lines vs. total order lines — not in either table. Need a separate order fulfilment or POS table.</w:t>
            </w:r>
          </w:p>
        </w:tc>
      </w:tr>
      <w:tr>
        <w:tc>
          <w:tcPr>
            <w:tcW w:type="dxa" w:w="3135"/>
            <w:shd w:val="clear" w:color="auto" w:fill="EFF6FF"/>
          </w:tcPr>
          <w:p>
            <w:r>
              <w:rPr>
                <w:sz w:val="18"/>
              </w:rPr>
              <w:t>Fill Rate % + week-on-week delta</w:t>
            </w:r>
          </w:p>
        </w:tc>
        <w:tc>
          <w:tcPr>
            <w:tcW w:type="dxa" w:w="3135"/>
            <w:shd w:val="clear" w:color="auto" w:fill="FEE2E2"/>
          </w:tcPr>
          <w:p>
            <w:r>
              <w:rPr>
                <w:sz w:val="18"/>
              </w:rPr>
              <w:t>Cannot Calculate</w:t>
            </w:r>
          </w:p>
        </w:tc>
        <w:tc>
          <w:tcPr>
            <w:tcW w:type="dxa" w:w="3135"/>
            <w:shd w:val="clear" w:color="auto" w:fill="EFF6FF"/>
          </w:tcPr>
          <w:p>
            <w:r>
              <w:rPr>
                <w:sz w:val="18"/>
              </w:rPr>
              <w:t>Requires DC order lines fully shipped vs. ordered. No order data exists in either table. Also needs prior-week value for the delta label.</w:t>
            </w:r>
          </w:p>
        </w:tc>
      </w:tr>
      <w:tr>
        <w:tc>
          <w:tcPr>
            <w:tcW w:type="dxa" w:w="3135"/>
          </w:tcPr>
          <w:p>
            <w:r>
              <w:rPr>
                <w:sz w:val="18"/>
              </w:rPr>
              <w:t>Capacity Utilisation %</w:t>
              <w:br/>
              <w:t>(on-hand / max capacity)</w:t>
            </w:r>
          </w:p>
        </w:tc>
        <w:tc>
          <w:tcPr>
            <w:tcW w:type="dxa" w:w="3135"/>
            <w:shd w:val="clear" w:color="auto" w:fill="FEE2E2"/>
          </w:tcPr>
          <w:p>
            <w:r>
              <w:rPr>
                <w:sz w:val="18"/>
              </w:rPr>
              <w:t>Cannot Calculate</w:t>
            </w:r>
          </w:p>
        </w:tc>
        <w:tc>
          <w:tcPr>
            <w:tcW w:type="dxa" w:w="3135"/>
          </w:tcPr>
          <w:p>
            <w:r>
              <w:rPr>
                <w:sz w:val="18"/>
              </w:rPr>
              <w:t>On-hand is available from Table 2, but max_capacity (maximum units the store can physically hold) is not in either table. Need a store master table.</w:t>
            </w:r>
          </w:p>
        </w:tc>
      </w:tr>
      <w:tr>
        <w:tc>
          <w:tcPr>
            <w:tcW w:type="dxa" w:w="3135"/>
            <w:shd w:val="clear" w:color="auto" w:fill="EFF6FF"/>
          </w:tcPr>
          <w:p>
            <w:r>
              <w:rPr>
                <w:sz w:val="18"/>
              </w:rPr>
              <w:t>In-Transit Units</w:t>
              <w:br/>
              <w:t>+ open loads count</w:t>
            </w:r>
          </w:p>
        </w:tc>
        <w:tc>
          <w:tcPr>
            <w:tcW w:type="dxa" w:w="3135"/>
            <w:shd w:val="clear" w:color="auto" w:fill="FEE2E2"/>
          </w:tcPr>
          <w:p>
            <w:r>
              <w:rPr>
                <w:sz w:val="18"/>
              </w:rPr>
              <w:t>Cannot Calculate</w:t>
            </w:r>
          </w:p>
        </w:tc>
        <w:tc>
          <w:tcPr>
            <w:tcW w:type="dxa" w:w="3135"/>
            <w:shd w:val="clear" w:color="auto" w:fill="EFF6FF"/>
          </w:tcPr>
          <w:p>
            <w:r>
              <w:rPr>
                <w:sz w:val="18"/>
              </w:rPr>
              <w:t>in_transit_units is completely absent from Table 2. This field is also needed for the net requirement formula. Open loads count needs a dispatch/shipment tracking record.</w:t>
            </w:r>
          </w:p>
        </w:tc>
      </w:tr>
      <w:tr>
        <w:tc>
          <w:tcPr>
            <w:tcW w:type="dxa" w:w="3135"/>
          </w:tcPr>
          <w:p>
            <w:r>
              <w:rPr>
                <w:sz w:val="18"/>
              </w:rPr>
              <w:t>Transportation Cost MTD</w:t>
              <w:br/>
              <w:t>+ vs plan delta</w:t>
            </w:r>
          </w:p>
        </w:tc>
        <w:tc>
          <w:tcPr>
            <w:tcW w:type="dxa" w:w="3135"/>
            <w:shd w:val="clear" w:color="auto" w:fill="FEE2E2"/>
          </w:tcPr>
          <w:p>
            <w:r>
              <w:rPr>
                <w:sz w:val="18"/>
              </w:rPr>
              <w:t>Cannot Calculate</w:t>
            </w:r>
          </w:p>
        </w:tc>
        <w:tc>
          <w:tcPr>
            <w:tcW w:type="dxa" w:w="3135"/>
          </w:tcPr>
          <w:p>
            <w:r>
              <w:rPr>
                <w:sz w:val="18"/>
              </w:rPr>
              <w:t>No freight or cost data exists in either table. Need per-dispatch freight cost records and a planned freight budget figure.</w:t>
            </w:r>
          </w:p>
        </w:tc>
      </w:tr>
    </w:tbl>
    <w:p/>
    <w:p>
      <w:r>
        <w:rPr>
          <w:b/>
          <w:i w:val="0"/>
          <w:color w:val="C93B3B"/>
          <w:sz w:val="20"/>
        </w:rPr>
        <w:t>Result: 0 out of 5 KPI tiles can be populated from the current tables.</w:t>
      </w:r>
    </w:p>
    <w:p/>
    <w:p>
      <w:pPr>
        <w:pStyle w:val="Heading1"/>
      </w:pPr>
      <w:r>
        <w:rPr>
          <w:color w:val="0F172A"/>
          <w:sz w:val="28"/>
        </w:rPr>
        <w:t>3.  Overview Screen — 4 Charts</w:t>
      </w:r>
    </w:p>
    <w:p/>
    <w:p>
      <w:pPr>
        <w:pStyle w:val="Heading2"/>
      </w:pPr>
      <w:r>
        <w:rPr>
          <w:color w:val="2563EB"/>
          <w:sz w:val="24"/>
        </w:rPr>
        <w:t>Chart 1 — Demand Forecast (Stacked Bar, W1–W8)</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Chart element</w:t>
            </w:r>
          </w:p>
        </w:tc>
        <w:tc>
          <w:tcPr>
            <w:tcW w:type="dxa" w:w="3135"/>
            <w:shd w:val="clear" w:color="auto" w:fill="1E40AF"/>
          </w:tcPr>
          <w:p>
            <w:r>
              <w:rPr>
                <w:b/>
                <w:color w:val="FFFFFF"/>
                <w:sz w:val="18"/>
              </w:rPr>
              <w:t>Can it be calculated?</w:t>
            </w:r>
          </w:p>
        </w:tc>
        <w:tc>
          <w:tcPr>
            <w:tcW w:type="dxa" w:w="3135"/>
            <w:shd w:val="clear" w:color="auto" w:fill="1E40AF"/>
          </w:tcPr>
          <w:p>
            <w:r>
              <w:rPr>
                <w:b/>
                <w:color w:val="FFFFFF"/>
                <w:sz w:val="18"/>
              </w:rPr>
              <w:t>What is missing</w:t>
            </w:r>
          </w:p>
        </w:tc>
      </w:tr>
      <w:tr>
        <w:tc>
          <w:tcPr>
            <w:tcW w:type="dxa" w:w="3135"/>
          </w:tcPr>
          <w:p>
            <w:r>
              <w:rPr>
                <w:sz w:val="18"/>
              </w:rPr>
              <w:t>Baseline bars (grey)</w:t>
            </w:r>
          </w:p>
        </w:tc>
        <w:tc>
          <w:tcPr>
            <w:tcW w:type="dxa" w:w="3135"/>
            <w:shd w:val="clear" w:color="auto" w:fill="D1FAE5"/>
          </w:tcPr>
          <w:p>
            <w:r>
              <w:rPr>
                <w:sz w:val="18"/>
              </w:rPr>
              <w:t>Can Calculate</w:t>
            </w:r>
          </w:p>
        </w:tc>
        <w:tc>
          <w:tcPr>
            <w:tcW w:type="dxa" w:w="3135"/>
          </w:tcPr>
          <w:p>
            <w:r>
              <w:rPr>
                <w:sz w:val="18"/>
              </w:rPr>
              <w:t>Directly available from Table 1 — Baseline column, 8 weekly rows per store-SKU.</w:t>
            </w:r>
          </w:p>
        </w:tc>
      </w:tr>
      <w:tr>
        <w:tc>
          <w:tcPr>
            <w:tcW w:type="dxa" w:w="3135"/>
            <w:shd w:val="clear" w:color="auto" w:fill="EFF6FF"/>
          </w:tcPr>
          <w:p>
            <w:r>
              <w:rPr>
                <w:sz w:val="18"/>
              </w:rPr>
              <w:t>AI sensed uplift bars (blue)</w:t>
            </w:r>
          </w:p>
        </w:tc>
        <w:tc>
          <w:tcPr>
            <w:tcW w:type="dxa" w:w="3135"/>
            <w:shd w:val="clear" w:color="auto" w:fill="D1FAE5"/>
          </w:tcPr>
          <w:p>
            <w:r>
              <w:rPr>
                <w:sz w:val="18"/>
              </w:rPr>
              <w:t>Can Calculate</w:t>
            </w:r>
          </w:p>
        </w:tc>
        <w:tc>
          <w:tcPr>
            <w:tcW w:type="dxa" w:w="3135"/>
            <w:shd w:val="clear" w:color="auto" w:fill="EFF6FF"/>
          </w:tcPr>
          <w:p>
            <w:r>
              <w:rPr>
                <w:sz w:val="18"/>
              </w:rPr>
              <w:t>Sensed uplift = Promo units + Weather units + Festival units. Derivable from Table 1.</w:t>
            </w:r>
          </w:p>
        </w:tc>
      </w:tr>
      <w:tr>
        <w:tc>
          <w:tcPr>
            <w:tcW w:type="dxa" w:w="3135"/>
          </w:tcPr>
          <w:p>
            <w:r>
              <w:rPr>
                <w:sz w:val="18"/>
              </w:rPr>
              <w:t>Total sensed demand line</w:t>
            </w:r>
          </w:p>
        </w:tc>
        <w:tc>
          <w:tcPr>
            <w:tcW w:type="dxa" w:w="3135"/>
            <w:shd w:val="clear" w:color="auto" w:fill="FEF3C7"/>
          </w:tcPr>
          <w:p>
            <w:r>
              <w:rPr>
                <w:sz w:val="18"/>
              </w:rPr>
              <w:t>Partial</w:t>
            </w:r>
          </w:p>
        </w:tc>
        <w:tc>
          <w:tcPr>
            <w:tcW w:type="dxa" w:w="3135"/>
          </w:tcPr>
          <w:p>
            <w:r>
              <w:rPr>
                <w:sz w:val="18"/>
              </w:rPr>
              <w:t>Trend and Event signal columns are missing from Table 1. Uplift will be understated by those two signals.</w:t>
            </w:r>
          </w:p>
        </w:tc>
      </w:tr>
    </w:tbl>
    <w:p/>
    <w:p>
      <w:pPr>
        <w:pStyle w:val="Heading2"/>
      </w:pPr>
      <w:r>
        <w:rPr>
          <w:color w:val="2563EB"/>
          <w:sz w:val="24"/>
        </w:rPr>
        <w:t>Chart 2 — Demand Sensing vs Baseline (Daily Mon–Sun line chart)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Chart element</w:t>
            </w:r>
          </w:p>
        </w:tc>
        <w:tc>
          <w:tcPr>
            <w:tcW w:type="dxa" w:w="3135"/>
            <w:shd w:val="clear" w:color="auto" w:fill="1E40AF"/>
          </w:tcPr>
          <w:p>
            <w:r>
              <w:rPr>
                <w:b/>
                <w:color w:val="FFFFFF"/>
                <w:sz w:val="18"/>
              </w:rPr>
              <w:t>Can it be calculated?</w:t>
            </w:r>
          </w:p>
        </w:tc>
        <w:tc>
          <w:tcPr>
            <w:tcW w:type="dxa" w:w="3135"/>
            <w:shd w:val="clear" w:color="auto" w:fill="1E40AF"/>
          </w:tcPr>
          <w:p>
            <w:r>
              <w:rPr>
                <w:b/>
                <w:color w:val="FFFFFF"/>
                <w:sz w:val="18"/>
              </w:rPr>
              <w:t>What is missing</w:t>
            </w:r>
          </w:p>
        </w:tc>
      </w:tr>
      <w:tr>
        <w:tc>
          <w:tcPr>
            <w:tcW w:type="dxa" w:w="3135"/>
          </w:tcPr>
          <w:p>
            <w:r>
              <w:rPr>
                <w:sz w:val="18"/>
              </w:rPr>
              <w:t>Daily baseline line</w:t>
            </w:r>
          </w:p>
        </w:tc>
        <w:tc>
          <w:tcPr>
            <w:tcW w:type="dxa" w:w="3135"/>
            <w:shd w:val="clear" w:color="auto" w:fill="D1FAE5"/>
          </w:tcPr>
          <w:p>
            <w:r>
              <w:rPr>
                <w:sz w:val="18"/>
              </w:rPr>
              <w:t>Can Calculate</w:t>
            </w:r>
          </w:p>
        </w:tc>
        <w:tc>
          <w:tcPr>
            <w:tcW w:type="dxa" w:w="3135"/>
          </w:tcPr>
          <w:p>
            <w:r>
              <w:rPr>
                <w:sz w:val="18"/>
              </w:rPr>
              <w:t>Derived from Table 1 Baseline (Week 1 value) using fixed day-of-week multipliers coded in the platform.</w:t>
            </w:r>
          </w:p>
        </w:tc>
      </w:tr>
      <w:tr>
        <w:tc>
          <w:tcPr>
            <w:tcW w:type="dxa" w:w="3135"/>
            <w:shd w:val="clear" w:color="auto" w:fill="EFF6FF"/>
          </w:tcPr>
          <w:p>
            <w:r>
              <w:rPr>
                <w:sz w:val="18"/>
              </w:rPr>
              <w:t>Daily sensed demand line</w:t>
            </w:r>
          </w:p>
        </w:tc>
        <w:tc>
          <w:tcPr>
            <w:tcW w:type="dxa" w:w="3135"/>
            <w:shd w:val="clear" w:color="auto" w:fill="FEF3C7"/>
          </w:tcPr>
          <w:p>
            <w:r>
              <w:rPr>
                <w:sz w:val="18"/>
              </w:rPr>
              <w:t>Partial</w:t>
            </w:r>
          </w:p>
        </w:tc>
        <w:tc>
          <w:tcPr>
            <w:tcW w:type="dxa" w:w="3135"/>
            <w:shd w:val="clear" w:color="auto" w:fill="EFF6FF"/>
          </w:tcPr>
          <w:p>
            <w:r>
              <w:rPr>
                <w:sz w:val="18"/>
              </w:rPr>
              <w:t>Derived from sensed total (Baseline + signal units). Missing Trend and Event increments.</w:t>
            </w:r>
          </w:p>
        </w:tc>
      </w:tr>
      <w:tr>
        <w:tc>
          <w:tcPr>
            <w:tcW w:type="dxa" w:w="3135"/>
          </w:tcPr>
          <w:p>
            <w:r>
              <w:rPr>
                <w:sz w:val="18"/>
              </w:rPr>
              <w:t>Uplift % badge on chart</w:t>
            </w:r>
          </w:p>
        </w:tc>
        <w:tc>
          <w:tcPr>
            <w:tcW w:type="dxa" w:w="3135"/>
            <w:shd w:val="clear" w:color="auto" w:fill="FEF3C7"/>
          </w:tcPr>
          <w:p>
            <w:r>
              <w:rPr>
                <w:sz w:val="18"/>
              </w:rPr>
              <w:t>Partial</w:t>
            </w:r>
          </w:p>
        </w:tc>
        <w:tc>
          <w:tcPr>
            <w:tcW w:type="dxa" w:w="3135"/>
          </w:tcPr>
          <w:p>
            <w:r>
              <w:rPr>
                <w:sz w:val="18"/>
              </w:rPr>
              <w:t>Can compute from available signals but will be understated. Formula: (Promo+Weather+Festival) / Baseline x 100.</w:t>
            </w:r>
          </w:p>
        </w:tc>
      </w:tr>
    </w:tbl>
    <w:p/>
    <w:p>
      <w:pPr>
        <w:pStyle w:val="Heading2"/>
      </w:pPr>
      <w:r>
        <w:rPr>
          <w:color w:val="2563EB"/>
          <w:sz w:val="24"/>
        </w:rPr>
        <w:t>Chart 3 — On-Hand Inventory DRP (Projected draw-down, W1–W8)</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Chart element</w:t>
            </w:r>
          </w:p>
        </w:tc>
        <w:tc>
          <w:tcPr>
            <w:tcW w:type="dxa" w:w="3135"/>
            <w:shd w:val="clear" w:color="auto" w:fill="1E40AF"/>
          </w:tcPr>
          <w:p>
            <w:r>
              <w:rPr>
                <w:b/>
                <w:color w:val="FFFFFF"/>
                <w:sz w:val="18"/>
              </w:rPr>
              <w:t>Can it be calculated?</w:t>
            </w:r>
          </w:p>
        </w:tc>
        <w:tc>
          <w:tcPr>
            <w:tcW w:type="dxa" w:w="3135"/>
            <w:shd w:val="clear" w:color="auto" w:fill="1E40AF"/>
          </w:tcPr>
          <w:p>
            <w:r>
              <w:rPr>
                <w:b/>
                <w:color w:val="FFFFFF"/>
                <w:sz w:val="18"/>
              </w:rPr>
              <w:t>What is missing</w:t>
            </w:r>
          </w:p>
        </w:tc>
      </w:tr>
      <w:tr>
        <w:tc>
          <w:tcPr>
            <w:tcW w:type="dxa" w:w="3135"/>
          </w:tcPr>
          <w:p>
            <w:r>
              <w:rPr>
                <w:sz w:val="18"/>
              </w:rPr>
              <w:t>Current on-hand starting point</w:t>
            </w:r>
          </w:p>
        </w:tc>
        <w:tc>
          <w:tcPr>
            <w:tcW w:type="dxa" w:w="3135"/>
            <w:shd w:val="clear" w:color="auto" w:fill="D1FAE5"/>
          </w:tcPr>
          <w:p>
            <w:r>
              <w:rPr>
                <w:sz w:val="18"/>
              </w:rPr>
              <w:t>Can Calculate</w:t>
            </w:r>
          </w:p>
        </w:tc>
        <w:tc>
          <w:tcPr>
            <w:tcW w:type="dxa" w:w="3135"/>
          </w:tcPr>
          <w:p>
            <w:r>
              <w:rPr>
                <w:sz w:val="18"/>
              </w:rPr>
              <w:t>Available from Table 2 — on-hand inventory column.</w:t>
            </w:r>
          </w:p>
        </w:tc>
      </w:tr>
      <w:tr>
        <w:tc>
          <w:tcPr>
            <w:tcW w:type="dxa" w:w="3135"/>
            <w:shd w:val="clear" w:color="auto" w:fill="EFF6FF"/>
          </w:tcPr>
          <w:p>
            <w:r>
              <w:rPr>
                <w:sz w:val="18"/>
              </w:rPr>
              <w:t>Projected draw-down curve</w:t>
            </w:r>
          </w:p>
        </w:tc>
        <w:tc>
          <w:tcPr>
            <w:tcW w:type="dxa" w:w="3135"/>
            <w:shd w:val="clear" w:color="auto" w:fill="FEF3C7"/>
          </w:tcPr>
          <w:p>
            <w:r>
              <w:rPr>
                <w:sz w:val="18"/>
              </w:rPr>
              <w:t>Partial</w:t>
            </w:r>
          </w:p>
        </w:tc>
        <w:tc>
          <w:tcPr>
            <w:tcW w:type="dxa" w:w="3135"/>
            <w:shd w:val="clear" w:color="auto" w:fill="EFF6FF"/>
          </w:tcPr>
          <w:p>
            <w:r>
              <w:rPr>
                <w:sz w:val="18"/>
              </w:rPr>
              <w:t>Can approximate using sensed demand from Table 1, but weekly draw-down needs sensed demand per week, which is partial (missing Trend/Event).</w:t>
            </w:r>
          </w:p>
        </w:tc>
      </w:tr>
      <w:tr>
        <w:tc>
          <w:tcPr>
            <w:tcW w:type="dxa" w:w="3135"/>
          </w:tcPr>
          <w:p>
            <w:r>
              <w:rPr>
                <w:sz w:val="18"/>
              </w:rPr>
              <w:t>Replenishment top-up bars (green)</w:t>
            </w:r>
          </w:p>
        </w:tc>
        <w:tc>
          <w:tcPr>
            <w:tcW w:type="dxa" w:w="3135"/>
            <w:shd w:val="clear" w:color="auto" w:fill="FEF3C7"/>
          </w:tcPr>
          <w:p>
            <w:r>
              <w:rPr>
                <w:sz w:val="18"/>
              </w:rPr>
              <w:t>Partial</w:t>
            </w:r>
          </w:p>
        </w:tc>
        <w:tc>
          <w:tcPr>
            <w:tcW w:type="dxa" w:w="3135"/>
          </w:tcPr>
          <w:p>
            <w:r>
              <w:rPr>
                <w:sz w:val="18"/>
              </w:rPr>
              <w:t>Replenishment quantity exists in Table 2, but without in_transit it cannot show what is already coming vs. what is new.</w:t>
            </w:r>
          </w:p>
        </w:tc>
      </w:tr>
      <w:tr>
        <w:tc>
          <w:tcPr>
            <w:tcW w:type="dxa" w:w="3135"/>
            <w:shd w:val="clear" w:color="auto" w:fill="EFF6FF"/>
          </w:tcPr>
          <w:p>
            <w:r>
              <w:rPr>
                <w:sz w:val="18"/>
              </w:rPr>
              <w:t>Reorder point highlight line</w:t>
            </w:r>
          </w:p>
        </w:tc>
        <w:tc>
          <w:tcPr>
            <w:tcW w:type="dxa" w:w="3135"/>
            <w:shd w:val="clear" w:color="auto" w:fill="D1FAE5"/>
          </w:tcPr>
          <w:p>
            <w:r>
              <w:rPr>
                <w:sz w:val="18"/>
              </w:rPr>
              <w:t>Can Calculate</w:t>
            </w:r>
          </w:p>
        </w:tc>
        <w:tc>
          <w:tcPr>
            <w:tcW w:type="dxa" w:w="3135"/>
            <w:shd w:val="clear" w:color="auto" w:fill="EFF6FF"/>
          </w:tcPr>
          <w:p>
            <w:r>
              <w:rPr>
                <w:sz w:val="18"/>
              </w:rPr>
              <w:t>ROP column is present in Table 2.</w:t>
            </w:r>
          </w:p>
        </w:tc>
      </w:tr>
    </w:tbl>
    <w:p/>
    <w:p>
      <w:pPr>
        <w:pStyle w:val="Heading2"/>
      </w:pPr>
      <w:r>
        <w:rPr>
          <w:color w:val="2563EB"/>
          <w:sz w:val="24"/>
        </w:rPr>
        <w:t>Chart 4 — Inventory Gap / Net Requirement (Line chart)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Chart element</w:t>
            </w:r>
          </w:p>
        </w:tc>
        <w:tc>
          <w:tcPr>
            <w:tcW w:type="dxa" w:w="3135"/>
            <w:shd w:val="clear" w:color="auto" w:fill="1E40AF"/>
          </w:tcPr>
          <w:p>
            <w:r>
              <w:rPr>
                <w:b/>
                <w:color w:val="FFFFFF"/>
                <w:sz w:val="18"/>
              </w:rPr>
              <w:t>Can it be calculated?</w:t>
            </w:r>
          </w:p>
        </w:tc>
        <w:tc>
          <w:tcPr>
            <w:tcW w:type="dxa" w:w="3135"/>
            <w:shd w:val="clear" w:color="auto" w:fill="1E40AF"/>
          </w:tcPr>
          <w:p>
            <w:r>
              <w:rPr>
                <w:b/>
                <w:color w:val="FFFFFF"/>
                <w:sz w:val="18"/>
              </w:rPr>
              <w:t>What is missing</w:t>
            </w:r>
          </w:p>
        </w:tc>
      </w:tr>
      <w:tr>
        <w:tc>
          <w:tcPr>
            <w:tcW w:type="dxa" w:w="3135"/>
          </w:tcPr>
          <w:p>
            <w:r>
              <w:rPr>
                <w:sz w:val="18"/>
              </w:rPr>
              <w:t>Net Requirement per week</w:t>
            </w:r>
          </w:p>
        </w:tc>
        <w:tc>
          <w:tcPr>
            <w:tcW w:type="dxa" w:w="3135"/>
            <w:shd w:val="clear" w:color="auto" w:fill="FEE2E2"/>
          </w:tcPr>
          <w:p>
            <w:r>
              <w:rPr>
                <w:sz w:val="18"/>
              </w:rPr>
              <w:t>Cannot Calculate</w:t>
            </w:r>
          </w:p>
        </w:tc>
        <w:tc>
          <w:tcPr>
            <w:tcW w:type="dxa" w:w="3135"/>
          </w:tcPr>
          <w:p>
            <w:r>
              <w:rPr>
                <w:sz w:val="18"/>
              </w:rPr>
              <w:t>Formula: (Sensed demand x lead_time_days / 7) + safety_stock - on_hand - in_transit. Missing: in_transit_units, safety_stock, lead_time_days (from store master). All three are blockers — this chart cannot be drawn at all.</w:t>
            </w:r>
          </w:p>
        </w:tc>
      </w:tr>
      <w:tr>
        <w:tc>
          <w:tcPr>
            <w:tcW w:type="dxa" w:w="3135"/>
            <w:shd w:val="clear" w:color="auto" w:fill="EFF6FF"/>
          </w:tcPr>
          <w:p>
            <w:r>
              <w:rPr>
                <w:sz w:val="18"/>
              </w:rPr>
              <w:t>Zero baseline (shortfall vs surplus)</w:t>
            </w:r>
          </w:p>
        </w:tc>
        <w:tc>
          <w:tcPr>
            <w:tcW w:type="dxa" w:w="3135"/>
            <w:shd w:val="clear" w:color="auto" w:fill="FEE2E2"/>
          </w:tcPr>
          <w:p>
            <w:r>
              <w:rPr>
                <w:sz w:val="18"/>
              </w:rPr>
              <w:t>Cannot Calculate</w:t>
            </w:r>
          </w:p>
        </w:tc>
        <w:tc>
          <w:tcPr>
            <w:tcW w:type="dxa" w:w="3135"/>
            <w:shd w:val="clear" w:color="auto" w:fill="EFF6FF"/>
          </w:tcPr>
          <w:p>
            <w:r>
              <w:rPr>
                <w:sz w:val="18"/>
              </w:rPr>
              <w:t>Dependent on net requirement above.</w:t>
            </w:r>
          </w:p>
        </w:tc>
      </w:tr>
    </w:tbl>
    <w:p/>
    <w:p>
      <w:r>
        <w:rPr>
          <w:b/>
          <w:i w:val="0"/>
          <w:color w:val="D97706"/>
          <w:sz w:val="20"/>
        </w:rPr>
        <w:t>Result: Chart 1 and Chart 2 are partially drawable. Chart 3 is partial. Chart 4 cannot be drawn at all.</w:t>
      </w:r>
    </w:p>
    <w:p/>
    <w:p>
      <w:pPr>
        <w:pStyle w:val="Heading1"/>
      </w:pPr>
      <w:r>
        <w:rPr>
          <w:color w:val="0F172A"/>
          <w:sz w:val="28"/>
        </w:rPr>
        <w:t>4.  Store Detail Screen — SKU Table Columns</w:t>
      </w:r>
    </w:p>
    <w:p>
      <w:r>
        <w:rPr>
          <w:b w:val="0"/>
          <w:i w:val="0"/>
          <w:sz w:val="20"/>
        </w:rPr>
        <w:t>Each row in the SKU table on the Locations screen represents one SKU for the selected store.</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Column</w:t>
            </w:r>
          </w:p>
        </w:tc>
        <w:tc>
          <w:tcPr>
            <w:tcW w:type="dxa" w:w="3135"/>
            <w:shd w:val="clear" w:color="auto" w:fill="1E40AF"/>
          </w:tcPr>
          <w:p>
            <w:r>
              <w:rPr>
                <w:b/>
                <w:color w:val="FFFFFF"/>
                <w:sz w:val="18"/>
              </w:rPr>
              <w:t>Can it be shown?</w:t>
            </w:r>
          </w:p>
        </w:tc>
        <w:tc>
          <w:tcPr>
            <w:tcW w:type="dxa" w:w="3135"/>
            <w:shd w:val="clear" w:color="auto" w:fill="1E40AF"/>
          </w:tcPr>
          <w:p>
            <w:r>
              <w:rPr>
                <w:b/>
                <w:color w:val="FFFFFF"/>
                <w:sz w:val="18"/>
              </w:rPr>
              <w:t>Source / What is missing</w:t>
            </w:r>
          </w:p>
        </w:tc>
      </w:tr>
      <w:tr>
        <w:tc>
          <w:tcPr>
            <w:tcW w:type="dxa" w:w="3135"/>
          </w:tcPr>
          <w:p>
            <w:r>
              <w:rPr>
                <w:sz w:val="18"/>
              </w:rPr>
              <w:t>SKU code</w:t>
            </w:r>
          </w:p>
        </w:tc>
        <w:tc>
          <w:tcPr>
            <w:tcW w:type="dxa" w:w="3135"/>
            <w:shd w:val="clear" w:color="auto" w:fill="D1FAE5"/>
          </w:tcPr>
          <w:p>
            <w:r>
              <w:rPr>
                <w:sz w:val="18"/>
              </w:rPr>
              <w:t>Can Show</w:t>
            </w:r>
          </w:p>
        </w:tc>
        <w:tc>
          <w:tcPr>
            <w:tcW w:type="dxa" w:w="3135"/>
          </w:tcPr>
          <w:p>
            <w:r>
              <w:rPr>
                <w:sz w:val="18"/>
              </w:rPr>
              <w:t>Available from Table 2 — SKU column.</w:t>
            </w:r>
          </w:p>
        </w:tc>
      </w:tr>
      <w:tr>
        <w:tc>
          <w:tcPr>
            <w:tcW w:type="dxa" w:w="3135"/>
            <w:shd w:val="clear" w:color="auto" w:fill="EFF6FF"/>
          </w:tcPr>
          <w:p>
            <w:r>
              <w:rPr>
                <w:sz w:val="18"/>
              </w:rPr>
              <w:t>SKU name</w:t>
            </w:r>
          </w:p>
        </w:tc>
        <w:tc>
          <w:tcPr>
            <w:tcW w:type="dxa" w:w="3135"/>
            <w:shd w:val="clear" w:color="auto" w:fill="FEE2E2"/>
          </w:tcPr>
          <w:p>
            <w:r>
              <w:rPr>
                <w:sz w:val="18"/>
              </w:rPr>
              <w:t>Cannot Show</w:t>
            </w:r>
          </w:p>
        </w:tc>
        <w:tc>
          <w:tcPr>
            <w:tcW w:type="dxa" w:w="3135"/>
            <w:shd w:val="clear" w:color="auto" w:fill="EFF6FF"/>
          </w:tcPr>
          <w:p>
            <w:r>
              <w:rPr>
                <w:sz w:val="18"/>
              </w:rPr>
              <w:t>No SKU master table. The data team has only a SKU code — the product name (e.g., "Dabur Honey 1kg") is not in either table.</w:t>
            </w:r>
          </w:p>
        </w:tc>
      </w:tr>
      <w:tr>
        <w:tc>
          <w:tcPr>
            <w:tcW w:type="dxa" w:w="3135"/>
          </w:tcPr>
          <w:p>
            <w:r>
              <w:rPr>
                <w:sz w:val="18"/>
              </w:rPr>
              <w:t>On-hand</w:t>
            </w:r>
          </w:p>
        </w:tc>
        <w:tc>
          <w:tcPr>
            <w:tcW w:type="dxa" w:w="3135"/>
            <w:shd w:val="clear" w:color="auto" w:fill="D1FAE5"/>
          </w:tcPr>
          <w:p>
            <w:r>
              <w:rPr>
                <w:sz w:val="18"/>
              </w:rPr>
              <w:t>Can Show</w:t>
            </w:r>
          </w:p>
        </w:tc>
        <w:tc>
          <w:tcPr>
            <w:tcW w:type="dxa" w:w="3135"/>
          </w:tcPr>
          <w:p>
            <w:r>
              <w:rPr>
                <w:sz w:val="18"/>
              </w:rPr>
              <w:t>Available from Table 2 — on-hand inventory column.</w:t>
            </w:r>
          </w:p>
        </w:tc>
      </w:tr>
      <w:tr>
        <w:tc>
          <w:tcPr>
            <w:tcW w:type="dxa" w:w="3135"/>
            <w:shd w:val="clear" w:color="auto" w:fill="EFF6FF"/>
          </w:tcPr>
          <w:p>
            <w:r>
              <w:rPr>
                <w:sz w:val="18"/>
              </w:rPr>
              <w:t>In-transit</w:t>
            </w:r>
          </w:p>
        </w:tc>
        <w:tc>
          <w:tcPr>
            <w:tcW w:type="dxa" w:w="3135"/>
            <w:shd w:val="clear" w:color="auto" w:fill="FEE2E2"/>
          </w:tcPr>
          <w:p>
            <w:r>
              <w:rPr>
                <w:sz w:val="18"/>
              </w:rPr>
              <w:t>Cannot Show</w:t>
            </w:r>
          </w:p>
        </w:tc>
        <w:tc>
          <w:tcPr>
            <w:tcW w:type="dxa" w:w="3135"/>
            <w:shd w:val="clear" w:color="auto" w:fill="EFF6FF"/>
          </w:tcPr>
          <w:p>
            <w:r>
              <w:rPr>
                <w:sz w:val="18"/>
              </w:rPr>
              <w:t>in_transit_units is not in either table.</w:t>
            </w:r>
          </w:p>
        </w:tc>
      </w:tr>
      <w:tr>
        <w:tc>
          <w:tcPr>
            <w:tcW w:type="dxa" w:w="3135"/>
          </w:tcPr>
          <w:p>
            <w:r>
              <w:rPr>
                <w:sz w:val="18"/>
              </w:rPr>
              <w:t>Sensed demand / wk</w:t>
            </w:r>
          </w:p>
        </w:tc>
        <w:tc>
          <w:tcPr>
            <w:tcW w:type="dxa" w:w="3135"/>
            <w:shd w:val="clear" w:color="auto" w:fill="FEF3C7"/>
          </w:tcPr>
          <w:p>
            <w:r>
              <w:rPr>
                <w:sz w:val="18"/>
              </w:rPr>
              <w:t>Partial</w:t>
            </w:r>
          </w:p>
        </w:tc>
        <w:tc>
          <w:tcPr>
            <w:tcW w:type="dxa" w:w="3135"/>
          </w:tcPr>
          <w:p>
            <w:r>
              <w:rPr>
                <w:sz w:val="18"/>
              </w:rPr>
              <w:t>Can compute as Baseline + Promo + Weather + Festival from Table 1. Missing Trend and Event.</w:t>
            </w:r>
          </w:p>
        </w:tc>
      </w:tr>
      <w:tr>
        <w:tc>
          <w:tcPr>
            <w:tcW w:type="dxa" w:w="3135"/>
            <w:shd w:val="clear" w:color="auto" w:fill="EFF6FF"/>
          </w:tcPr>
          <w:p>
            <w:r>
              <w:rPr>
                <w:sz w:val="18"/>
              </w:rPr>
              <w:t>Safety stock</w:t>
            </w:r>
          </w:p>
        </w:tc>
        <w:tc>
          <w:tcPr>
            <w:tcW w:type="dxa" w:w="3135"/>
            <w:shd w:val="clear" w:color="auto" w:fill="FEE2E2"/>
          </w:tcPr>
          <w:p>
            <w:r>
              <w:rPr>
                <w:sz w:val="18"/>
              </w:rPr>
              <w:t>Cannot Show</w:t>
            </w:r>
          </w:p>
        </w:tc>
        <w:tc>
          <w:tcPr>
            <w:tcW w:type="dxa" w:w="3135"/>
            <w:shd w:val="clear" w:color="auto" w:fill="EFF6FF"/>
          </w:tcPr>
          <w:p>
            <w:r>
              <w:rPr>
                <w:sz w:val="18"/>
              </w:rPr>
              <w:t>Not present in either table. Required for net requirement calculation and display.</w:t>
            </w:r>
          </w:p>
        </w:tc>
      </w:tr>
      <w:tr>
        <w:tc>
          <w:tcPr>
            <w:tcW w:type="dxa" w:w="3135"/>
          </w:tcPr>
          <w:p>
            <w:r>
              <w:rPr>
                <w:sz w:val="18"/>
              </w:rPr>
              <w:t>ROP</w:t>
            </w:r>
          </w:p>
        </w:tc>
        <w:tc>
          <w:tcPr>
            <w:tcW w:type="dxa" w:w="3135"/>
            <w:shd w:val="clear" w:color="auto" w:fill="D1FAE5"/>
          </w:tcPr>
          <w:p>
            <w:r>
              <w:rPr>
                <w:sz w:val="18"/>
              </w:rPr>
              <w:t>Can Show</w:t>
            </w:r>
          </w:p>
        </w:tc>
        <w:tc>
          <w:tcPr>
            <w:tcW w:type="dxa" w:w="3135"/>
          </w:tcPr>
          <w:p>
            <w:r>
              <w:rPr>
                <w:sz w:val="18"/>
              </w:rPr>
              <w:t>Available from Table 2 — ROP column.</w:t>
            </w:r>
          </w:p>
        </w:tc>
      </w:tr>
      <w:tr>
        <w:tc>
          <w:tcPr>
            <w:tcW w:type="dxa" w:w="3135"/>
            <w:shd w:val="clear" w:color="auto" w:fill="EFF6FF"/>
          </w:tcPr>
          <w:p>
            <w:r>
              <w:rPr>
                <w:sz w:val="18"/>
              </w:rPr>
              <w:t>Net requirement</w:t>
            </w:r>
          </w:p>
        </w:tc>
        <w:tc>
          <w:tcPr>
            <w:tcW w:type="dxa" w:w="3135"/>
            <w:shd w:val="clear" w:color="auto" w:fill="FEE2E2"/>
          </w:tcPr>
          <w:p>
            <w:r>
              <w:rPr>
                <w:sz w:val="18"/>
              </w:rPr>
              <w:t>Cannot Calculate</w:t>
            </w:r>
          </w:p>
        </w:tc>
        <w:tc>
          <w:tcPr>
            <w:tcW w:type="dxa" w:w="3135"/>
            <w:shd w:val="clear" w:color="auto" w:fill="EFF6FF"/>
          </w:tcPr>
          <w:p>
            <w:r>
              <w:rPr>
                <w:sz w:val="18"/>
              </w:rPr>
              <w:t>Cannot compute — missing in_transit, safety_stock, and lead_time_days.</w:t>
            </w:r>
          </w:p>
        </w:tc>
      </w:tr>
      <w:tr>
        <w:tc>
          <w:tcPr>
            <w:tcW w:type="dxa" w:w="3135"/>
          </w:tcPr>
          <w:p>
            <w:r>
              <w:rPr>
                <w:sz w:val="18"/>
              </w:rPr>
              <w:t>Replenishment qty</w:t>
            </w:r>
          </w:p>
        </w:tc>
        <w:tc>
          <w:tcPr>
            <w:tcW w:type="dxa" w:w="3135"/>
            <w:shd w:val="clear" w:color="auto" w:fill="D1FAE5"/>
          </w:tcPr>
          <w:p>
            <w:r>
              <w:rPr>
                <w:sz w:val="18"/>
              </w:rPr>
              <w:t>Can Show</w:t>
            </w:r>
          </w:p>
        </w:tc>
        <w:tc>
          <w:tcPr>
            <w:tcW w:type="dxa" w:w="3135"/>
          </w:tcPr>
          <w:p>
            <w:r>
              <w:rPr>
                <w:sz w:val="18"/>
              </w:rPr>
              <w:t>Available from Table 2 — Replenishment quantity column (pre-computed by data team).</w:t>
            </w:r>
          </w:p>
        </w:tc>
      </w:tr>
      <w:tr>
        <w:tc>
          <w:tcPr>
            <w:tcW w:type="dxa" w:w="3135"/>
            <w:shd w:val="clear" w:color="auto" w:fill="EFF6FF"/>
          </w:tcPr>
          <w:p>
            <w:r>
              <w:rPr>
                <w:sz w:val="18"/>
              </w:rPr>
              <w:t>Status flag</w:t>
              <w:br/>
              <w:t>(Replenish / Low / OK / Hold / Redeploy)</w:t>
            </w:r>
          </w:p>
        </w:tc>
        <w:tc>
          <w:tcPr>
            <w:tcW w:type="dxa" w:w="3135"/>
            <w:shd w:val="clear" w:color="auto" w:fill="FEE2E2"/>
          </w:tcPr>
          <w:p>
            <w:r>
              <w:rPr>
                <w:sz w:val="18"/>
              </w:rPr>
              <w:t>Cannot Calculate</w:t>
            </w:r>
          </w:p>
        </w:tc>
        <w:tc>
          <w:tcPr>
            <w:tcW w:type="dxa" w:w="3135"/>
            <w:shd w:val="clear" w:color="auto" w:fill="EFF6FF"/>
          </w:tcPr>
          <w:p>
            <w:r>
              <w:rPr>
                <w:sz w:val="18"/>
              </w:rPr>
              <w:t>Status is derived from net requirement and on-hand vs ROP. Cannot be computed without in_transit and safety_stock.</w:t>
            </w:r>
          </w:p>
        </w:tc>
      </w:tr>
    </w:tbl>
    <w:p/>
    <w:p>
      <w:r>
        <w:rPr>
          <w:b/>
          <w:i w:val="0"/>
          <w:color w:val="C93B3B"/>
          <w:sz w:val="20"/>
        </w:rPr>
        <w:t>Result: 4 out of 10 SKU table columns can be populated. 4 cannot be calculated at all.</w:t>
      </w:r>
    </w:p>
    <w:p/>
    <w:p>
      <w:pPr>
        <w:pStyle w:val="Heading1"/>
      </w:pPr>
      <w:r>
        <w:rPr>
          <w:color w:val="0F172A"/>
          <w:sz w:val="28"/>
        </w:rPr>
        <w:t>5.  Replenishment &amp; Dispatch Screen — KPIs and Plan Table</w:t>
      </w:r>
    </w:p>
    <w:p/>
    <w:p>
      <w:pPr>
        <w:pStyle w:val="Heading2"/>
      </w:pPr>
      <w:r>
        <w:rPr>
          <w:color w:val="2563EB"/>
          <w:sz w:val="24"/>
        </w:rPr>
        <w:t>KPI Tiles (Screen 3)</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KPI Tile</w:t>
            </w:r>
          </w:p>
        </w:tc>
        <w:tc>
          <w:tcPr>
            <w:tcW w:type="dxa" w:w="3135"/>
            <w:shd w:val="clear" w:color="auto" w:fill="1E40AF"/>
          </w:tcPr>
          <w:p>
            <w:r>
              <w:rPr>
                <w:b/>
                <w:color w:val="FFFFFF"/>
                <w:sz w:val="18"/>
              </w:rPr>
              <w:t>Can it be calculated?</w:t>
            </w:r>
          </w:p>
        </w:tc>
        <w:tc>
          <w:tcPr>
            <w:tcW w:type="dxa" w:w="3135"/>
            <w:shd w:val="clear" w:color="auto" w:fill="1E40AF"/>
          </w:tcPr>
          <w:p>
            <w:r>
              <w:rPr>
                <w:b/>
                <w:color w:val="FFFFFF"/>
                <w:sz w:val="18"/>
              </w:rPr>
              <w:t>What is missing</w:t>
            </w:r>
          </w:p>
        </w:tc>
      </w:tr>
      <w:tr>
        <w:tc>
          <w:tcPr>
            <w:tcW w:type="dxa" w:w="3135"/>
          </w:tcPr>
          <w:p>
            <w:r>
              <w:rPr>
                <w:sz w:val="18"/>
              </w:rPr>
              <w:t>Transportation cost for the week</w:t>
            </w:r>
          </w:p>
        </w:tc>
        <w:tc>
          <w:tcPr>
            <w:tcW w:type="dxa" w:w="3135"/>
            <w:shd w:val="clear" w:color="auto" w:fill="FEE2E2"/>
          </w:tcPr>
          <w:p>
            <w:r>
              <w:rPr>
                <w:sz w:val="18"/>
              </w:rPr>
              <w:t>Cannot Calculate</w:t>
            </w:r>
          </w:p>
        </w:tc>
        <w:tc>
          <w:tcPr>
            <w:tcW w:type="dxa" w:w="3135"/>
          </w:tcPr>
          <w:p>
            <w:r>
              <w:rPr>
                <w:sz w:val="18"/>
              </w:rPr>
              <w:t>No freight/lane cost data in either table.</w:t>
            </w:r>
          </w:p>
        </w:tc>
      </w:tr>
      <w:tr>
        <w:tc>
          <w:tcPr>
            <w:tcW w:type="dxa" w:w="3135"/>
            <w:shd w:val="clear" w:color="auto" w:fill="EFF6FF"/>
          </w:tcPr>
          <w:p>
            <w:r>
              <w:rPr>
                <w:sz w:val="18"/>
              </w:rPr>
              <w:t>Average truck utilisation % vs unoptimised</w:t>
            </w:r>
          </w:p>
        </w:tc>
        <w:tc>
          <w:tcPr>
            <w:tcW w:type="dxa" w:w="3135"/>
            <w:shd w:val="clear" w:color="auto" w:fill="FEE2E2"/>
          </w:tcPr>
          <w:p>
            <w:r>
              <w:rPr>
                <w:sz w:val="18"/>
              </w:rPr>
              <w:t>Cannot Calculate</w:t>
            </w:r>
          </w:p>
        </w:tc>
        <w:tc>
          <w:tcPr>
            <w:tcW w:type="dxa" w:w="3135"/>
            <w:shd w:val="clear" w:color="auto" w:fill="EFF6FF"/>
          </w:tcPr>
          <w:p>
            <w:r>
              <w:rPr>
                <w:sz w:val="18"/>
              </w:rPr>
              <w:t>No truck or lane data in either table.</w:t>
            </w:r>
          </w:p>
        </w:tc>
      </w:tr>
      <w:tr>
        <w:tc>
          <w:tcPr>
            <w:tcW w:type="dxa" w:w="3135"/>
          </w:tcPr>
          <w:p>
            <w:r>
              <w:rPr>
                <w:sz w:val="18"/>
              </w:rPr>
              <w:t>LTL / expedite loads count</w:t>
            </w:r>
          </w:p>
        </w:tc>
        <w:tc>
          <w:tcPr>
            <w:tcW w:type="dxa" w:w="3135"/>
            <w:shd w:val="clear" w:color="auto" w:fill="FEE2E2"/>
          </w:tcPr>
          <w:p>
            <w:r>
              <w:rPr>
                <w:sz w:val="18"/>
              </w:rPr>
              <w:t>Cannot Calculate</w:t>
            </w:r>
          </w:p>
        </w:tc>
        <w:tc>
          <w:tcPr>
            <w:tcW w:type="dxa" w:w="3135"/>
          </w:tcPr>
          <w:p>
            <w:r>
              <w:rPr>
                <w:sz w:val="18"/>
              </w:rPr>
              <w:t>No shipment mode data in either table.</w:t>
            </w:r>
          </w:p>
        </w:tc>
      </w:tr>
      <w:tr>
        <w:tc>
          <w:tcPr>
            <w:tcW w:type="dxa" w:w="3135"/>
            <w:shd w:val="clear" w:color="auto" w:fill="EFF6FF"/>
          </w:tcPr>
          <w:p>
            <w:r>
              <w:rPr>
                <w:sz w:val="18"/>
              </w:rPr>
              <w:t>Capacity-feasible % (should be 100%)</w:t>
            </w:r>
          </w:p>
        </w:tc>
        <w:tc>
          <w:tcPr>
            <w:tcW w:type="dxa" w:w="3135"/>
            <w:shd w:val="clear" w:color="auto" w:fill="FEE2E2"/>
          </w:tcPr>
          <w:p>
            <w:r>
              <w:rPr>
                <w:sz w:val="18"/>
              </w:rPr>
              <w:t>Cannot Calculate</w:t>
            </w:r>
          </w:p>
        </w:tc>
        <w:tc>
          <w:tcPr>
            <w:tcW w:type="dxa" w:w="3135"/>
            <w:shd w:val="clear" w:color="auto" w:fill="EFF6FF"/>
          </w:tcPr>
          <w:p>
            <w:r>
              <w:rPr>
                <w:sz w:val="18"/>
              </w:rPr>
              <w:t>Requires replenishment plan vs. store max_capacity — both missing.</w:t>
            </w:r>
          </w:p>
        </w:tc>
      </w:tr>
    </w:tbl>
    <w:p/>
    <w:p>
      <w:pPr>
        <w:pStyle w:val="Heading2"/>
      </w:pPr>
      <w:r>
        <w:rPr>
          <w:color w:val="2563EB"/>
          <w:sz w:val="24"/>
        </w:rPr>
        <w:t>Consolidated Replenishment Plan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Column</w:t>
            </w:r>
          </w:p>
        </w:tc>
        <w:tc>
          <w:tcPr>
            <w:tcW w:type="dxa" w:w="3135"/>
            <w:shd w:val="clear" w:color="auto" w:fill="1E40AF"/>
          </w:tcPr>
          <w:p>
            <w:r>
              <w:rPr>
                <w:b/>
                <w:color w:val="FFFFFF"/>
                <w:sz w:val="18"/>
              </w:rPr>
              <w:t>Can it be shown?</w:t>
            </w:r>
          </w:p>
        </w:tc>
        <w:tc>
          <w:tcPr>
            <w:tcW w:type="dxa" w:w="3135"/>
            <w:shd w:val="clear" w:color="auto" w:fill="1E40AF"/>
          </w:tcPr>
          <w:p>
            <w:r>
              <w:rPr>
                <w:b/>
                <w:color w:val="FFFFFF"/>
                <w:sz w:val="18"/>
              </w:rPr>
              <w:t>What is missing</w:t>
            </w:r>
          </w:p>
        </w:tc>
      </w:tr>
      <w:tr>
        <w:tc>
          <w:tcPr>
            <w:tcW w:type="dxa" w:w="3135"/>
          </w:tcPr>
          <w:p>
            <w:r>
              <w:rPr>
                <w:sz w:val="18"/>
              </w:rPr>
              <w:t>Lane (DC → store)</w:t>
            </w:r>
          </w:p>
        </w:tc>
        <w:tc>
          <w:tcPr>
            <w:tcW w:type="dxa" w:w="3135"/>
            <w:shd w:val="clear" w:color="auto" w:fill="FEE2E2"/>
          </w:tcPr>
          <w:p>
            <w:r>
              <w:rPr>
                <w:sz w:val="18"/>
              </w:rPr>
              <w:t>Cannot Show</w:t>
            </w:r>
          </w:p>
        </w:tc>
        <w:tc>
          <w:tcPr>
            <w:tcW w:type="dxa" w:w="3135"/>
          </w:tcPr>
          <w:p>
            <w:r>
              <w:rPr>
                <w:sz w:val="18"/>
              </w:rPr>
              <w:t>No lane assignment data in either table.</w:t>
            </w:r>
          </w:p>
        </w:tc>
      </w:tr>
      <w:tr>
        <w:tc>
          <w:tcPr>
            <w:tcW w:type="dxa" w:w="3135"/>
            <w:shd w:val="clear" w:color="auto" w:fill="EFF6FF"/>
          </w:tcPr>
          <w:p>
            <w:r>
              <w:rPr>
                <w:sz w:val="18"/>
              </w:rPr>
              <w:t>SKUs on load</w:t>
            </w:r>
          </w:p>
        </w:tc>
        <w:tc>
          <w:tcPr>
            <w:tcW w:type="dxa" w:w="3135"/>
            <w:shd w:val="clear" w:color="auto" w:fill="FEE2E2"/>
          </w:tcPr>
          <w:p>
            <w:r>
              <w:rPr>
                <w:sz w:val="18"/>
              </w:rPr>
              <w:t>Cannot Show</w:t>
            </w:r>
          </w:p>
        </w:tc>
        <w:tc>
          <w:tcPr>
            <w:tcW w:type="dxa" w:w="3135"/>
            <w:shd w:val="clear" w:color="auto" w:fill="EFF6FF"/>
          </w:tcPr>
          <w:p>
            <w:r>
              <w:rPr>
                <w:sz w:val="18"/>
              </w:rPr>
              <w:t>Requires lane assignment — not in either table.</w:t>
            </w:r>
          </w:p>
        </w:tc>
      </w:tr>
      <w:tr>
        <w:tc>
          <w:tcPr>
            <w:tcW w:type="dxa" w:w="3135"/>
          </w:tcPr>
          <w:p>
            <w:r>
              <w:rPr>
                <w:sz w:val="18"/>
              </w:rPr>
              <w:t>Total units on load</w:t>
            </w:r>
          </w:p>
        </w:tc>
        <w:tc>
          <w:tcPr>
            <w:tcW w:type="dxa" w:w="3135"/>
            <w:shd w:val="clear" w:color="auto" w:fill="FEE2E2"/>
          </w:tcPr>
          <w:p>
            <w:r>
              <w:rPr>
                <w:sz w:val="18"/>
              </w:rPr>
              <w:t>Cannot Show</w:t>
            </w:r>
          </w:p>
        </w:tc>
        <w:tc>
          <w:tcPr>
            <w:tcW w:type="dxa" w:w="3135"/>
          </w:tcPr>
          <w:p>
            <w:r>
              <w:rPr>
                <w:sz w:val="18"/>
              </w:rPr>
              <w:t>Requires lane assignment — not in either table.</w:t>
            </w:r>
          </w:p>
        </w:tc>
      </w:tr>
      <w:tr>
        <w:tc>
          <w:tcPr>
            <w:tcW w:type="dxa" w:w="3135"/>
            <w:shd w:val="clear" w:color="auto" w:fill="EFF6FF"/>
          </w:tcPr>
          <w:p>
            <w:r>
              <w:rPr>
                <w:sz w:val="18"/>
              </w:rPr>
              <w:t>Truck fill %</w:t>
            </w:r>
          </w:p>
        </w:tc>
        <w:tc>
          <w:tcPr>
            <w:tcW w:type="dxa" w:w="3135"/>
            <w:shd w:val="clear" w:color="auto" w:fill="FEE2E2"/>
          </w:tcPr>
          <w:p>
            <w:r>
              <w:rPr>
                <w:sz w:val="18"/>
              </w:rPr>
              <w:t>Cannot Show</w:t>
            </w:r>
          </w:p>
        </w:tc>
        <w:tc>
          <w:tcPr>
            <w:tcW w:type="dxa" w:w="3135"/>
            <w:shd w:val="clear" w:color="auto" w:fill="EFF6FF"/>
          </w:tcPr>
          <w:p>
            <w:r>
              <w:rPr>
                <w:sz w:val="18"/>
              </w:rPr>
              <w:t>No truck capacity or fill data in either table.</w:t>
            </w:r>
          </w:p>
        </w:tc>
      </w:tr>
      <w:tr>
        <w:tc>
          <w:tcPr>
            <w:tcW w:type="dxa" w:w="3135"/>
          </w:tcPr>
          <w:p>
            <w:r>
              <w:rPr>
                <w:sz w:val="18"/>
              </w:rPr>
              <w:t>Mode (FTL / Milk-run)</w:t>
            </w:r>
          </w:p>
        </w:tc>
        <w:tc>
          <w:tcPr>
            <w:tcW w:type="dxa" w:w="3135"/>
            <w:shd w:val="clear" w:color="auto" w:fill="FEE2E2"/>
          </w:tcPr>
          <w:p>
            <w:r>
              <w:rPr>
                <w:sz w:val="18"/>
              </w:rPr>
              <w:t>Cannot Show</w:t>
            </w:r>
          </w:p>
        </w:tc>
        <w:tc>
          <w:tcPr>
            <w:tcW w:type="dxa" w:w="3135"/>
          </w:tcPr>
          <w:p>
            <w:r>
              <w:rPr>
                <w:sz w:val="18"/>
              </w:rPr>
              <w:t>No shipment mode data in either table.</w:t>
            </w:r>
          </w:p>
        </w:tc>
      </w:tr>
      <w:tr>
        <w:tc>
          <w:tcPr>
            <w:tcW w:type="dxa" w:w="3135"/>
            <w:shd w:val="clear" w:color="auto" w:fill="EFF6FF"/>
          </w:tcPr>
          <w:p>
            <w:r>
              <w:rPr>
                <w:sz w:val="18"/>
              </w:rPr>
              <w:t>Freight cost per lane</w:t>
            </w:r>
          </w:p>
        </w:tc>
        <w:tc>
          <w:tcPr>
            <w:tcW w:type="dxa" w:w="3135"/>
            <w:shd w:val="clear" w:color="auto" w:fill="FEE2E2"/>
          </w:tcPr>
          <w:p>
            <w:r>
              <w:rPr>
                <w:sz w:val="18"/>
              </w:rPr>
              <w:t>Cannot Show</w:t>
            </w:r>
          </w:p>
        </w:tc>
        <w:tc>
          <w:tcPr>
            <w:tcW w:type="dxa" w:w="3135"/>
            <w:shd w:val="clear" w:color="auto" w:fill="EFF6FF"/>
          </w:tcPr>
          <w:p>
            <w:r>
              <w:rPr>
                <w:sz w:val="18"/>
              </w:rPr>
              <w:t>No freight cost data in either table.</w:t>
            </w:r>
          </w:p>
        </w:tc>
      </w:tr>
      <w:tr>
        <w:tc>
          <w:tcPr>
            <w:tcW w:type="dxa" w:w="3135"/>
          </w:tcPr>
          <w:p>
            <w:r>
              <w:rPr>
                <w:sz w:val="18"/>
              </w:rPr>
              <w:t>vs baseline saving %</w:t>
            </w:r>
          </w:p>
        </w:tc>
        <w:tc>
          <w:tcPr>
            <w:tcW w:type="dxa" w:w="3135"/>
            <w:shd w:val="clear" w:color="auto" w:fill="FEE2E2"/>
          </w:tcPr>
          <w:p>
            <w:r>
              <w:rPr>
                <w:sz w:val="18"/>
              </w:rPr>
              <w:t>Cannot Show</w:t>
            </w:r>
          </w:p>
        </w:tc>
        <w:tc>
          <w:tcPr>
            <w:tcW w:type="dxa" w:w="3135"/>
          </w:tcPr>
          <w:p>
            <w:r>
              <w:rPr>
                <w:sz w:val="18"/>
              </w:rPr>
              <w:t>Requires both optimised and unoptimised freight cost — neither exists.</w:t>
            </w:r>
          </w:p>
        </w:tc>
      </w:tr>
    </w:tbl>
    <w:p/>
    <w:p>
      <w:r>
        <w:rPr>
          <w:b/>
          <w:i w:val="0"/>
          <w:color w:val="C93B3B"/>
          <w:sz w:val="20"/>
        </w:rPr>
        <w:t>Result: Screen 3 (Dispatch) cannot be populated at all from the current tables.</w:t>
      </w:r>
    </w:p>
    <w:p/>
    <w:p>
      <w:pPr>
        <w:pStyle w:val="Heading1"/>
      </w:pPr>
      <w:r>
        <w:rPr>
          <w:color w:val="0F172A"/>
          <w:sz w:val="28"/>
        </w:rPr>
        <w:t>6.  Summary Scorecard</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Platform Area</w:t>
            </w:r>
          </w:p>
        </w:tc>
        <w:tc>
          <w:tcPr>
            <w:tcW w:type="dxa" w:w="3135"/>
            <w:shd w:val="clear" w:color="auto" w:fill="1E40AF"/>
          </w:tcPr>
          <w:p>
            <w:r>
              <w:rPr>
                <w:b/>
                <w:color w:val="FFFFFF"/>
                <w:sz w:val="18"/>
              </w:rPr>
              <w:t>Status</w:t>
            </w:r>
          </w:p>
        </w:tc>
        <w:tc>
          <w:tcPr>
            <w:tcW w:type="dxa" w:w="3135"/>
            <w:shd w:val="clear" w:color="auto" w:fill="1E40AF"/>
          </w:tcPr>
          <w:p>
            <w:r>
              <w:rPr>
                <w:b/>
                <w:color w:val="FFFFFF"/>
                <w:sz w:val="18"/>
              </w:rPr>
              <w:t>Completeness</w:t>
            </w:r>
          </w:p>
        </w:tc>
      </w:tr>
      <w:tr>
        <w:tc>
          <w:tcPr>
            <w:tcW w:type="dxa" w:w="3135"/>
          </w:tcPr>
          <w:p>
            <w:r>
              <w:rPr>
                <w:sz w:val="18"/>
              </w:rPr>
              <w:t>Demand forecast chart (baseline bars)</w:t>
            </w:r>
          </w:p>
        </w:tc>
        <w:tc>
          <w:tcPr>
            <w:tcW w:type="dxa" w:w="3135"/>
            <w:shd w:val="clear" w:color="auto" w:fill="D1FAE5"/>
          </w:tcPr>
          <w:p>
            <w:r>
              <w:rPr>
                <w:sz w:val="18"/>
              </w:rPr>
              <w:t>Ready</w:t>
            </w:r>
          </w:p>
        </w:tc>
        <w:tc>
          <w:tcPr>
            <w:tcW w:type="dxa" w:w="3135"/>
          </w:tcPr>
          <w:p>
            <w:r>
              <w:rPr>
                <w:sz w:val="18"/>
              </w:rPr>
              <w:t>100% — baseline data is available</w:t>
            </w:r>
          </w:p>
        </w:tc>
      </w:tr>
      <w:tr>
        <w:tc>
          <w:tcPr>
            <w:tcW w:type="dxa" w:w="3135"/>
            <w:shd w:val="clear" w:color="auto" w:fill="EFF6FF"/>
          </w:tcPr>
          <w:p>
            <w:r>
              <w:rPr>
                <w:sz w:val="18"/>
              </w:rPr>
              <w:t>Demand sensing chart (partial)</w:t>
            </w:r>
          </w:p>
        </w:tc>
        <w:tc>
          <w:tcPr>
            <w:tcW w:type="dxa" w:w="3135"/>
            <w:shd w:val="clear" w:color="auto" w:fill="FEF3C7"/>
          </w:tcPr>
          <w:p>
            <w:r>
              <w:rPr>
                <w:sz w:val="18"/>
              </w:rPr>
              <w:t>Partial — 3 of 5 signals</w:t>
            </w:r>
          </w:p>
        </w:tc>
        <w:tc>
          <w:tcPr>
            <w:tcW w:type="dxa" w:w="3135"/>
            <w:shd w:val="clear" w:color="auto" w:fill="EFF6FF"/>
          </w:tcPr>
          <w:p>
            <w:r>
              <w:rPr>
                <w:sz w:val="18"/>
              </w:rPr>
              <w:t>60% — Trend and Event signals missing</w:t>
            </w:r>
          </w:p>
        </w:tc>
      </w:tr>
      <w:tr>
        <w:tc>
          <w:tcPr>
            <w:tcW w:type="dxa" w:w="3135"/>
          </w:tcPr>
          <w:p>
            <w:r>
              <w:rPr>
                <w:sz w:val="18"/>
              </w:rPr>
              <w:t>On-hand inventory chart</w:t>
            </w:r>
          </w:p>
        </w:tc>
        <w:tc>
          <w:tcPr>
            <w:tcW w:type="dxa" w:w="3135"/>
            <w:shd w:val="clear" w:color="auto" w:fill="FEF3C7"/>
          </w:tcPr>
          <w:p>
            <w:r>
              <w:rPr>
                <w:sz w:val="18"/>
              </w:rPr>
              <w:t>Partial</w:t>
            </w:r>
          </w:p>
        </w:tc>
        <w:tc>
          <w:tcPr>
            <w:tcW w:type="dxa" w:w="3135"/>
          </w:tcPr>
          <w:p>
            <w:r>
              <w:rPr>
                <w:sz w:val="18"/>
              </w:rPr>
              <w:t>70% — in-transit and full sensed demand needed for draw-down</w:t>
            </w:r>
          </w:p>
        </w:tc>
      </w:tr>
      <w:tr>
        <w:tc>
          <w:tcPr>
            <w:tcW w:type="dxa" w:w="3135"/>
            <w:shd w:val="clear" w:color="auto" w:fill="EFF6FF"/>
          </w:tcPr>
          <w:p>
            <w:r>
              <w:rPr>
                <w:sz w:val="18"/>
              </w:rPr>
              <w:t>Inventory gap / net requirement chart</w:t>
            </w:r>
          </w:p>
        </w:tc>
        <w:tc>
          <w:tcPr>
            <w:tcW w:type="dxa" w:w="3135"/>
            <w:shd w:val="clear" w:color="auto" w:fill="FEE2E2"/>
          </w:tcPr>
          <w:p>
            <w:r>
              <w:rPr>
                <w:sz w:val="18"/>
              </w:rPr>
              <w:t>Blocked</w:t>
            </w:r>
          </w:p>
        </w:tc>
        <w:tc>
          <w:tcPr>
            <w:tcW w:type="dxa" w:w="3135"/>
            <w:shd w:val="clear" w:color="auto" w:fill="EFF6FF"/>
          </w:tcPr>
          <w:p>
            <w:r>
              <w:rPr>
                <w:sz w:val="18"/>
              </w:rPr>
              <w:t>0% — in_transit, safety_stock, lead_time missing</w:t>
            </w:r>
          </w:p>
        </w:tc>
      </w:tr>
      <w:tr>
        <w:tc>
          <w:tcPr>
            <w:tcW w:type="dxa" w:w="3135"/>
          </w:tcPr>
          <w:p>
            <w:r>
              <w:rPr>
                <w:sz w:val="18"/>
              </w:rPr>
              <w:t>Overview KPI tiles (all 5)</w:t>
            </w:r>
          </w:p>
        </w:tc>
        <w:tc>
          <w:tcPr>
            <w:tcW w:type="dxa" w:w="3135"/>
            <w:shd w:val="clear" w:color="auto" w:fill="FEE2E2"/>
          </w:tcPr>
          <w:p>
            <w:r>
              <w:rPr>
                <w:sz w:val="18"/>
              </w:rPr>
              <w:t>Blocked</w:t>
            </w:r>
          </w:p>
        </w:tc>
        <w:tc>
          <w:tcPr>
            <w:tcW w:type="dxa" w:w="3135"/>
          </w:tcPr>
          <w:p>
            <w:r>
              <w:rPr>
                <w:sz w:val="18"/>
              </w:rPr>
              <w:t>0% — no KPI source data at all</w:t>
            </w:r>
          </w:p>
        </w:tc>
      </w:tr>
      <w:tr>
        <w:tc>
          <w:tcPr>
            <w:tcW w:type="dxa" w:w="3135"/>
            <w:shd w:val="clear" w:color="auto" w:fill="EFF6FF"/>
          </w:tcPr>
          <w:p>
            <w:r>
              <w:rPr>
                <w:sz w:val="18"/>
              </w:rPr>
              <w:t>SKU table (10 columns)</w:t>
            </w:r>
          </w:p>
        </w:tc>
        <w:tc>
          <w:tcPr>
            <w:tcW w:type="dxa" w:w="3135"/>
            <w:shd w:val="clear" w:color="auto" w:fill="FEF3C7"/>
          </w:tcPr>
          <w:p>
            <w:r>
              <w:rPr>
                <w:sz w:val="18"/>
              </w:rPr>
              <w:t>Partial</w:t>
            </w:r>
          </w:p>
        </w:tc>
        <w:tc>
          <w:tcPr>
            <w:tcW w:type="dxa" w:w="3135"/>
            <w:shd w:val="clear" w:color="auto" w:fill="EFF6FF"/>
          </w:tcPr>
          <w:p>
            <w:r>
              <w:rPr>
                <w:sz w:val="18"/>
              </w:rPr>
              <w:t>40% — 4 of 10 columns can be shown</w:t>
            </w:r>
          </w:p>
        </w:tc>
      </w:tr>
      <w:tr>
        <w:tc>
          <w:tcPr>
            <w:tcW w:type="dxa" w:w="3135"/>
          </w:tcPr>
          <w:p>
            <w:r>
              <w:rPr>
                <w:sz w:val="18"/>
              </w:rPr>
              <w:t>Replenishment plan table (Screen 3)</w:t>
            </w:r>
          </w:p>
        </w:tc>
        <w:tc>
          <w:tcPr>
            <w:tcW w:type="dxa" w:w="3135"/>
            <w:shd w:val="clear" w:color="auto" w:fill="FEE2E2"/>
          </w:tcPr>
          <w:p>
            <w:r>
              <w:rPr>
                <w:sz w:val="18"/>
              </w:rPr>
              <w:t>Blocked</w:t>
            </w:r>
          </w:p>
        </w:tc>
        <w:tc>
          <w:tcPr>
            <w:tcW w:type="dxa" w:w="3135"/>
          </w:tcPr>
          <w:p>
            <w:r>
              <w:rPr>
                <w:sz w:val="18"/>
              </w:rPr>
              <w:t>0% — no lane, freight, or truck data</w:t>
            </w:r>
          </w:p>
        </w:tc>
      </w:tr>
      <w:tr>
        <w:tc>
          <w:tcPr>
            <w:tcW w:type="dxa" w:w="3135"/>
            <w:shd w:val="clear" w:color="auto" w:fill="EFF6FF"/>
          </w:tcPr>
          <w:p>
            <w:r>
              <w:rPr>
                <w:sz w:val="18"/>
              </w:rPr>
              <w:t>Dispatch KPI tiles (Screen 3)</w:t>
            </w:r>
          </w:p>
        </w:tc>
        <w:tc>
          <w:tcPr>
            <w:tcW w:type="dxa" w:w="3135"/>
            <w:shd w:val="clear" w:color="auto" w:fill="FEE2E2"/>
          </w:tcPr>
          <w:p>
            <w:r>
              <w:rPr>
                <w:sz w:val="18"/>
              </w:rPr>
              <w:t>Blocked</w:t>
            </w:r>
          </w:p>
        </w:tc>
        <w:tc>
          <w:tcPr>
            <w:tcW w:type="dxa" w:w="3135"/>
            <w:shd w:val="clear" w:color="auto" w:fill="EFF6FF"/>
          </w:tcPr>
          <w:p>
            <w:r>
              <w:rPr>
                <w:sz w:val="18"/>
              </w:rPr>
              <w:t>0% — no freight or logistics data</w:t>
            </w:r>
          </w:p>
        </w:tc>
      </w:tr>
    </w:tbl>
    <w:p/>
    <w:p/>
    <w:p>
      <w:pPr>
        <w:pStyle w:val="Heading1"/>
      </w:pPr>
      <w:r>
        <w:rPr>
          <w:color w:val="0F172A"/>
          <w:sz w:val="28"/>
        </w:rPr>
        <w:t>7.  Additional Data Required from the Data Team</w:t>
      </w:r>
    </w:p>
    <w:p>
      <w:r>
        <w:rPr>
          <w:b w:val="0"/>
          <w:i w:val="0"/>
          <w:sz w:val="20"/>
        </w:rPr>
        <w:t>The following new tables and columns must be requested to make the platform fully operational.</w:t>
      </w:r>
    </w:p>
    <w:p/>
    <w:p>
      <w:pPr>
        <w:pStyle w:val="Heading2"/>
      </w:pPr>
      <w:r>
        <w:rPr>
          <w:color w:val="2563EB"/>
          <w:sz w:val="24"/>
        </w:rPr>
        <w:t>7A — Add columns to existing Table 2 (On-Hand Inventory)</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Column to add</w:t>
            </w:r>
          </w:p>
        </w:tc>
        <w:tc>
          <w:tcPr>
            <w:tcW w:type="dxa" w:w="4703"/>
            <w:shd w:val="clear" w:color="auto" w:fill="1E40AF"/>
          </w:tcPr>
          <w:p>
            <w:r>
              <w:rPr>
                <w:b/>
                <w:color w:val="FFFFFF"/>
                <w:sz w:val="18"/>
              </w:rPr>
              <w:t>Why it is needed</w:t>
            </w:r>
          </w:p>
        </w:tc>
      </w:tr>
      <w:tr>
        <w:tc>
          <w:tcPr>
            <w:tcW w:type="dxa" w:w="4703"/>
          </w:tcPr>
          <w:p>
            <w:r>
              <w:rPr>
                <w:sz w:val="18"/>
              </w:rPr>
              <w:t>in_transit_units</w:t>
            </w:r>
          </w:p>
        </w:tc>
        <w:tc>
          <w:tcPr>
            <w:tcW w:type="dxa" w:w="4703"/>
          </w:tcPr>
          <w:p>
            <w:r>
              <w:rPr>
                <w:sz w:val="18"/>
              </w:rPr>
              <w:t>Critical for net requirement formula and In-Transit KPI tile. Without it the net requirement, inventory gap chart, and all status flags are wrong.</w:t>
            </w:r>
          </w:p>
        </w:tc>
      </w:tr>
      <w:tr>
        <w:tc>
          <w:tcPr>
            <w:tcW w:type="dxa" w:w="4703"/>
            <w:shd w:val="clear" w:color="auto" w:fill="EFF6FF"/>
          </w:tcPr>
          <w:p>
            <w:r>
              <w:rPr>
                <w:sz w:val="18"/>
              </w:rPr>
              <w:t>safety_stock</w:t>
            </w:r>
          </w:p>
        </w:tc>
        <w:tc>
          <w:tcPr>
            <w:tcW w:type="dxa" w:w="4703"/>
            <w:shd w:val="clear" w:color="auto" w:fill="EFF6FF"/>
          </w:tcPr>
          <w:p>
            <w:r>
              <w:rPr>
                <w:sz w:val="18"/>
              </w:rPr>
              <w:t>Required in the net requirement formula and displayed as a standalone column in the SKU table.</w:t>
            </w:r>
          </w:p>
        </w:tc>
      </w:tr>
    </w:tbl>
    <w:p/>
    <w:p>
      <w:pPr>
        <w:pStyle w:val="Heading2"/>
      </w:pPr>
      <w:r>
        <w:rPr>
          <w:color w:val="2563EB"/>
          <w:sz w:val="24"/>
        </w:rPr>
        <w:t>7B — Add columns to existing Table 1 (Demand Forecasting)</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Column to add</w:t>
            </w:r>
          </w:p>
        </w:tc>
        <w:tc>
          <w:tcPr>
            <w:tcW w:type="dxa" w:w="4703"/>
            <w:shd w:val="clear" w:color="auto" w:fill="1E40AF"/>
          </w:tcPr>
          <w:p>
            <w:r>
              <w:rPr>
                <w:b/>
                <w:color w:val="FFFFFF"/>
                <w:sz w:val="18"/>
              </w:rPr>
              <w:t>Why it is needed</w:t>
            </w:r>
          </w:p>
        </w:tc>
      </w:tr>
      <w:tr>
        <w:tc>
          <w:tcPr>
            <w:tcW w:type="dxa" w:w="4703"/>
          </w:tcPr>
          <w:p>
            <w:r>
              <w:rPr>
                <w:sz w:val="18"/>
              </w:rPr>
              <w:t>Trend units</w:t>
            </w:r>
          </w:p>
        </w:tc>
        <w:tc>
          <w:tcPr>
            <w:tcW w:type="dxa" w:w="4703"/>
          </w:tcPr>
          <w:p>
            <w:r>
              <w:rPr>
                <w:sz w:val="18"/>
              </w:rPr>
              <w:t>Fifth demand signal shown as a chip on the store card. Missing from current table — uplift % will be understated without it.</w:t>
            </w:r>
          </w:p>
        </w:tc>
      </w:tr>
      <w:tr>
        <w:tc>
          <w:tcPr>
            <w:tcW w:type="dxa" w:w="4703"/>
            <w:shd w:val="clear" w:color="auto" w:fill="EFF6FF"/>
          </w:tcPr>
          <w:p>
            <w:r>
              <w:rPr>
                <w:sz w:val="18"/>
              </w:rPr>
              <w:t>Event units</w:t>
            </w:r>
          </w:p>
        </w:tc>
        <w:tc>
          <w:tcPr>
            <w:tcW w:type="dxa" w:w="4703"/>
            <w:shd w:val="clear" w:color="auto" w:fill="EFF6FF"/>
          </w:tcPr>
          <w:p>
            <w:r>
              <w:rPr>
                <w:sz w:val="18"/>
              </w:rPr>
              <w:t>Fifth demand signal (local events). Same reason as Trend.</w:t>
            </w:r>
          </w:p>
        </w:tc>
      </w:tr>
    </w:tbl>
    <w:p/>
    <w:p>
      <w:pPr>
        <w:pStyle w:val="Heading2"/>
      </w:pPr>
      <w:r>
        <w:rPr>
          <w:color w:val="2563EB"/>
          <w:sz w:val="24"/>
        </w:rPr>
        <w:t>7C — New table: Store Master</w:t>
      </w:r>
    </w:p>
    <w:p>
      <w:r>
        <w:rPr>
          <w:b w:val="0"/>
          <w:i w:val="0"/>
          <w:sz w:val="20"/>
        </w:rPr>
        <w:t>One row per store. Static reference data that does not change week to week.</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Column</w:t>
            </w:r>
          </w:p>
        </w:tc>
        <w:tc>
          <w:tcPr>
            <w:tcW w:type="dxa" w:w="4703"/>
            <w:shd w:val="clear" w:color="auto" w:fill="1E40AF"/>
          </w:tcPr>
          <w:p>
            <w:r>
              <w:rPr>
                <w:b/>
                <w:color w:val="FFFFFF"/>
                <w:sz w:val="18"/>
              </w:rPr>
              <w:t>Why it is needed</w:t>
            </w:r>
          </w:p>
        </w:tc>
      </w:tr>
      <w:tr>
        <w:tc>
          <w:tcPr>
            <w:tcW w:type="dxa" w:w="4703"/>
          </w:tcPr>
          <w:p>
            <w:r>
              <w:rPr>
                <w:sz w:val="18"/>
              </w:rPr>
              <w:t>store_id</w:t>
            </w:r>
          </w:p>
        </w:tc>
        <w:tc>
          <w:tcPr>
            <w:tcW w:type="dxa" w:w="4703"/>
          </w:tcPr>
          <w:p>
            <w:r>
              <w:rPr>
                <w:sz w:val="18"/>
              </w:rPr>
              <w:t>Primary key — links to both existing tables.</w:t>
            </w:r>
          </w:p>
        </w:tc>
      </w:tr>
      <w:tr>
        <w:tc>
          <w:tcPr>
            <w:tcW w:type="dxa" w:w="4703"/>
            <w:shd w:val="clear" w:color="auto" w:fill="EFF6FF"/>
          </w:tcPr>
          <w:p>
            <w:r>
              <w:rPr>
                <w:sz w:val="18"/>
              </w:rPr>
              <w:t>store_name</w:t>
            </w:r>
          </w:p>
        </w:tc>
        <w:tc>
          <w:tcPr>
            <w:tcW w:type="dxa" w:w="4703"/>
            <w:shd w:val="clear" w:color="auto" w:fill="EFF6FF"/>
          </w:tcPr>
          <w:p>
            <w:r>
              <w:rPr>
                <w:sz w:val="18"/>
              </w:rPr>
              <w:t>Display name shown in the store selector and store summary card.</w:t>
            </w:r>
          </w:p>
        </w:tc>
      </w:tr>
      <w:tr>
        <w:tc>
          <w:tcPr>
            <w:tcW w:type="dxa" w:w="4703"/>
          </w:tcPr>
          <w:p>
            <w:r>
              <w:rPr>
                <w:sz w:val="18"/>
              </w:rPr>
              <w:t>format</w:t>
            </w:r>
          </w:p>
        </w:tc>
        <w:tc>
          <w:tcPr>
            <w:tcW w:type="dxa" w:w="4703"/>
          </w:tcPr>
          <w:p>
            <w:r>
              <w:rPr>
                <w:sz w:val="18"/>
              </w:rPr>
              <w:t>Store size (S / M / L) — shown on the store summary card.</w:t>
            </w:r>
          </w:p>
        </w:tc>
      </w:tr>
      <w:tr>
        <w:tc>
          <w:tcPr>
            <w:tcW w:type="dxa" w:w="4703"/>
            <w:shd w:val="clear" w:color="auto" w:fill="EFF6FF"/>
          </w:tcPr>
          <w:p>
            <w:r>
              <w:rPr>
                <w:sz w:val="18"/>
              </w:rPr>
              <w:t>max_capacity</w:t>
            </w:r>
          </w:p>
        </w:tc>
        <w:tc>
          <w:tcPr>
            <w:tcW w:type="dxa" w:w="4703"/>
            <w:shd w:val="clear" w:color="auto" w:fill="EFF6FF"/>
          </w:tcPr>
          <w:p>
            <w:r>
              <w:rPr>
                <w:sz w:val="18"/>
              </w:rPr>
              <w:t>Required for Capacity Utilisation % KPI tile (on-hand / max_capacity) and open-to-ship headroom.</w:t>
            </w:r>
          </w:p>
        </w:tc>
      </w:tr>
      <w:tr>
        <w:tc>
          <w:tcPr>
            <w:tcW w:type="dxa" w:w="4703"/>
          </w:tcPr>
          <w:p>
            <w:r>
              <w:rPr>
                <w:sz w:val="18"/>
              </w:rPr>
              <w:t>lead_time_days</w:t>
            </w:r>
          </w:p>
        </w:tc>
        <w:tc>
          <w:tcPr>
            <w:tcW w:type="dxa" w:w="4703"/>
          </w:tcPr>
          <w:p>
            <w:r>
              <w:rPr>
                <w:sz w:val="18"/>
              </w:rPr>
              <w:t>Required in the net requirement formula (demand over lead time = sensed demand x lead_time / 7).</w:t>
            </w:r>
          </w:p>
        </w:tc>
      </w:tr>
      <w:tr>
        <w:tc>
          <w:tcPr>
            <w:tcW w:type="dxa" w:w="4703"/>
            <w:shd w:val="clear" w:color="auto" w:fill="EFF6FF"/>
          </w:tcPr>
          <w:p>
            <w:r>
              <w:rPr>
                <w:sz w:val="18"/>
              </w:rPr>
              <w:t>target_service_level</w:t>
            </w:r>
          </w:p>
        </w:tc>
        <w:tc>
          <w:tcPr>
            <w:tcW w:type="dxa" w:w="4703"/>
            <w:shd w:val="clear" w:color="auto" w:fill="EFF6FF"/>
          </w:tcPr>
          <w:p>
            <w:r>
              <w:rPr>
                <w:sz w:val="18"/>
              </w:rPr>
              <w:t>Required to compute the "vs target" delta label on the Service Level KPI tile.</w:t>
            </w:r>
          </w:p>
        </w:tc>
      </w:tr>
    </w:tbl>
    <w:p/>
    <w:p>
      <w:pPr>
        <w:pStyle w:val="Heading2"/>
      </w:pPr>
      <w:r>
        <w:rPr>
          <w:color w:val="2563EB"/>
          <w:sz w:val="24"/>
        </w:rPr>
        <w:t>7D — New table: SKU Master</w:t>
      </w:r>
    </w:p>
    <w:p>
      <w:r>
        <w:rPr>
          <w:b w:val="0"/>
          <w:i w:val="0"/>
          <w:sz w:val="20"/>
        </w:rPr>
        <w:t>One row per SKU. Static reference data.</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Column</w:t>
            </w:r>
          </w:p>
        </w:tc>
        <w:tc>
          <w:tcPr>
            <w:tcW w:type="dxa" w:w="4703"/>
            <w:shd w:val="clear" w:color="auto" w:fill="1E40AF"/>
          </w:tcPr>
          <w:p>
            <w:r>
              <w:rPr>
                <w:b/>
                <w:color w:val="FFFFFF"/>
                <w:sz w:val="18"/>
              </w:rPr>
              <w:t>Why it is needed</w:t>
            </w:r>
          </w:p>
        </w:tc>
      </w:tr>
      <w:tr>
        <w:tc>
          <w:tcPr>
            <w:tcW w:type="dxa" w:w="4703"/>
          </w:tcPr>
          <w:p>
            <w:r>
              <w:rPr>
                <w:sz w:val="18"/>
              </w:rPr>
              <w:t>sku_id</w:t>
            </w:r>
          </w:p>
        </w:tc>
        <w:tc>
          <w:tcPr>
            <w:tcW w:type="dxa" w:w="4703"/>
          </w:tcPr>
          <w:p>
            <w:r>
              <w:rPr>
                <w:sz w:val="18"/>
              </w:rPr>
              <w:t>Primary key — links to both existing tables.</w:t>
            </w:r>
          </w:p>
        </w:tc>
      </w:tr>
      <w:tr>
        <w:tc>
          <w:tcPr>
            <w:tcW w:type="dxa" w:w="4703"/>
            <w:shd w:val="clear" w:color="auto" w:fill="EFF6FF"/>
          </w:tcPr>
          <w:p>
            <w:r>
              <w:rPr>
                <w:sz w:val="18"/>
              </w:rPr>
              <w:t>sku_name</w:t>
            </w:r>
          </w:p>
        </w:tc>
        <w:tc>
          <w:tcPr>
            <w:tcW w:type="dxa" w:w="4703"/>
            <w:shd w:val="clear" w:color="auto" w:fill="EFF6FF"/>
          </w:tcPr>
          <w:p>
            <w:r>
              <w:rPr>
                <w:sz w:val="18"/>
              </w:rPr>
              <w:t>Product display name shown in the SKU Name column of the store table (e.g., "Dabur Honey 1kg").</w:t>
            </w:r>
          </w:p>
        </w:tc>
      </w:tr>
      <w:tr>
        <w:tc>
          <w:tcPr>
            <w:tcW w:type="dxa" w:w="4703"/>
          </w:tcPr>
          <w:p>
            <w:r>
              <w:rPr>
                <w:sz w:val="18"/>
              </w:rPr>
              <w:t>category</w:t>
            </w:r>
          </w:p>
        </w:tc>
        <w:tc>
          <w:tcPr>
            <w:tcW w:type="dxa" w:w="4703"/>
          </w:tcPr>
          <w:p>
            <w:r>
              <w:rPr>
                <w:sz w:val="18"/>
              </w:rPr>
              <w:t>Product category — used in the demand drill-down panel filters.</w:t>
            </w:r>
          </w:p>
        </w:tc>
      </w:tr>
      <w:tr>
        <w:tc>
          <w:tcPr>
            <w:tcW w:type="dxa" w:w="4703"/>
            <w:shd w:val="clear" w:color="auto" w:fill="EFF6FF"/>
          </w:tcPr>
          <w:p>
            <w:r>
              <w:rPr>
                <w:sz w:val="18"/>
              </w:rPr>
              <w:t>unit_price</w:t>
            </w:r>
          </w:p>
        </w:tc>
        <w:tc>
          <w:tcPr>
            <w:tcW w:type="dxa" w:w="4703"/>
            <w:shd w:val="clear" w:color="auto" w:fill="EFF6FF"/>
          </w:tcPr>
          <w:p>
            <w:r>
              <w:rPr>
                <w:sz w:val="18"/>
              </w:rPr>
              <w:t>Used in the dead-stock value calculation (e.g., "X units x unit price = capital tied up").</w:t>
            </w:r>
          </w:p>
        </w:tc>
      </w:tr>
    </w:tbl>
    <w:p/>
    <w:p>
      <w:pPr>
        <w:pStyle w:val="Heading2"/>
      </w:pPr>
      <w:r>
        <w:rPr>
          <w:color w:val="2563EB"/>
          <w:sz w:val="24"/>
        </w:rPr>
        <w:t>7E — New table: Store KPIs (weekly)</w:t>
      </w:r>
    </w:p>
    <w:p>
      <w:r>
        <w:rPr>
          <w:b w:val="0"/>
          <w:i w:val="0"/>
          <w:sz w:val="20"/>
        </w:rPr>
        <w:t>One row per store per week. Required for all 5 KPI tiles on the Overview screen.</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Column</w:t>
            </w:r>
          </w:p>
        </w:tc>
        <w:tc>
          <w:tcPr>
            <w:tcW w:type="dxa" w:w="4703"/>
            <w:shd w:val="clear" w:color="auto" w:fill="1E40AF"/>
          </w:tcPr>
          <w:p>
            <w:r>
              <w:rPr>
                <w:b/>
                <w:color w:val="FFFFFF"/>
                <w:sz w:val="18"/>
              </w:rPr>
              <w:t>Why it is needed</w:t>
            </w:r>
          </w:p>
        </w:tc>
      </w:tr>
      <w:tr>
        <w:tc>
          <w:tcPr>
            <w:tcW w:type="dxa" w:w="4703"/>
          </w:tcPr>
          <w:p>
            <w:r>
              <w:rPr>
                <w:sz w:val="18"/>
              </w:rPr>
              <w:t>store_id</w:t>
            </w:r>
          </w:p>
        </w:tc>
        <w:tc>
          <w:tcPr>
            <w:tcW w:type="dxa" w:w="4703"/>
          </w:tcPr>
          <w:p>
            <w:r>
              <w:rPr>
                <w:sz w:val="18"/>
              </w:rPr>
              <w:t>Links to store master.</w:t>
            </w:r>
          </w:p>
        </w:tc>
      </w:tr>
      <w:tr>
        <w:tc>
          <w:tcPr>
            <w:tcW w:type="dxa" w:w="4703"/>
            <w:shd w:val="clear" w:color="auto" w:fill="EFF6FF"/>
          </w:tcPr>
          <w:p>
            <w:r>
              <w:rPr>
                <w:sz w:val="18"/>
              </w:rPr>
              <w:t>week_start_date</w:t>
            </w:r>
          </w:p>
        </w:tc>
        <w:tc>
          <w:tcPr>
            <w:tcW w:type="dxa" w:w="4703"/>
            <w:shd w:val="clear" w:color="auto" w:fill="EFF6FF"/>
          </w:tcPr>
          <w:p>
            <w:r>
              <w:rPr>
                <w:sz w:val="18"/>
              </w:rPr>
              <w:t>Week the KPI applies to.</w:t>
            </w:r>
          </w:p>
        </w:tc>
      </w:tr>
      <w:tr>
        <w:tc>
          <w:tcPr>
            <w:tcW w:type="dxa" w:w="4703"/>
          </w:tcPr>
          <w:p>
            <w:r>
              <w:rPr>
                <w:sz w:val="18"/>
              </w:rPr>
              <w:t>service_level_pct</w:t>
            </w:r>
          </w:p>
        </w:tc>
        <w:tc>
          <w:tcPr>
            <w:tcW w:type="dxa" w:w="4703"/>
          </w:tcPr>
          <w:p>
            <w:r>
              <w:rPr>
                <w:sz w:val="18"/>
              </w:rPr>
              <w:t>Service Level KPI tile — % of customer demand fulfilled without a stockout.</w:t>
            </w:r>
          </w:p>
        </w:tc>
      </w:tr>
      <w:tr>
        <w:tc>
          <w:tcPr>
            <w:tcW w:type="dxa" w:w="4703"/>
            <w:shd w:val="clear" w:color="auto" w:fill="EFF6FF"/>
          </w:tcPr>
          <w:p>
            <w:r>
              <w:rPr>
                <w:sz w:val="18"/>
              </w:rPr>
              <w:t>service_level_prior_week</w:t>
            </w:r>
          </w:p>
        </w:tc>
        <w:tc>
          <w:tcPr>
            <w:tcW w:type="dxa" w:w="4703"/>
            <w:shd w:val="clear" w:color="auto" w:fill="EFF6FF"/>
          </w:tcPr>
          <w:p>
            <w:r>
              <w:rPr>
                <w:sz w:val="18"/>
              </w:rPr>
              <w:t>Needed to compute the week-on-week delta label (e.g., "↓ 0.6 pts vs target").</w:t>
            </w:r>
          </w:p>
        </w:tc>
      </w:tr>
      <w:tr>
        <w:tc>
          <w:tcPr>
            <w:tcW w:type="dxa" w:w="4703"/>
          </w:tcPr>
          <w:p>
            <w:r>
              <w:rPr>
                <w:sz w:val="18"/>
              </w:rPr>
              <w:t>fill_rate_pct</w:t>
            </w:r>
          </w:p>
        </w:tc>
        <w:tc>
          <w:tcPr>
            <w:tcW w:type="dxa" w:w="4703"/>
          </w:tcPr>
          <w:p>
            <w:r>
              <w:rPr>
                <w:sz w:val="18"/>
              </w:rPr>
              <w:t>Fill Rate KPI tile — % of DC order lines fully shipped.</w:t>
            </w:r>
          </w:p>
        </w:tc>
      </w:tr>
      <w:tr>
        <w:tc>
          <w:tcPr>
            <w:tcW w:type="dxa" w:w="4703"/>
            <w:shd w:val="clear" w:color="auto" w:fill="EFF6FF"/>
          </w:tcPr>
          <w:p>
            <w:r>
              <w:rPr>
                <w:sz w:val="18"/>
              </w:rPr>
              <w:t>fill_rate_prior_week</w:t>
            </w:r>
          </w:p>
        </w:tc>
        <w:tc>
          <w:tcPr>
            <w:tcW w:type="dxa" w:w="4703"/>
            <w:shd w:val="clear" w:color="auto" w:fill="EFF6FF"/>
          </w:tcPr>
          <w:p>
            <w:r>
              <w:rPr>
                <w:sz w:val="18"/>
              </w:rPr>
              <w:t>Needed for the week-on-week delta label on the Fill Rate tile.</w:t>
            </w:r>
          </w:p>
        </w:tc>
      </w:tr>
      <w:tr>
        <w:tc>
          <w:tcPr>
            <w:tcW w:type="dxa" w:w="4703"/>
          </w:tcPr>
          <w:p>
            <w:r>
              <w:rPr>
                <w:sz w:val="18"/>
              </w:rPr>
              <w:t>open_loads_count</w:t>
            </w:r>
          </w:p>
        </w:tc>
        <w:tc>
          <w:tcPr>
            <w:tcW w:type="dxa" w:w="4703"/>
          </w:tcPr>
          <w:p>
            <w:r>
              <w:rPr>
                <w:sz w:val="18"/>
              </w:rPr>
              <w:t>Shown as "2 open loads" sub-label on the In-Transit KPI tile.</w:t>
            </w:r>
          </w:p>
        </w:tc>
      </w:tr>
      <w:tr>
        <w:tc>
          <w:tcPr>
            <w:tcW w:type="dxa" w:w="4703"/>
            <w:shd w:val="clear" w:color="auto" w:fill="EFF6FF"/>
          </w:tcPr>
          <w:p>
            <w:r>
              <w:rPr>
                <w:sz w:val="18"/>
              </w:rPr>
              <w:t>transport_cost_mtd</w:t>
            </w:r>
          </w:p>
        </w:tc>
        <w:tc>
          <w:tcPr>
            <w:tcW w:type="dxa" w:w="4703"/>
            <w:shd w:val="clear" w:color="auto" w:fill="EFF6FF"/>
          </w:tcPr>
          <w:p>
            <w:r>
              <w:rPr>
                <w:sz w:val="18"/>
              </w:rPr>
              <w:t>Transportation Cost MTD KPI tile — cumulative freight spend in the current month.</w:t>
            </w:r>
          </w:p>
        </w:tc>
      </w:tr>
      <w:tr>
        <w:tc>
          <w:tcPr>
            <w:tcW w:type="dxa" w:w="4703"/>
          </w:tcPr>
          <w:p>
            <w:r>
              <w:rPr>
                <w:sz w:val="18"/>
              </w:rPr>
              <w:t>transport_cost_plan</w:t>
            </w:r>
          </w:p>
        </w:tc>
        <w:tc>
          <w:tcPr>
            <w:tcW w:type="dxa" w:w="4703"/>
          </w:tcPr>
          <w:p>
            <w:r>
              <w:rPr>
                <w:sz w:val="18"/>
              </w:rPr>
              <w:t>Required for the "vs plan %" delta on the Transportation Cost tile.</w:t>
            </w:r>
          </w:p>
        </w:tc>
      </w:tr>
    </w:tbl>
    <w:p/>
    <w:p>
      <w:pPr>
        <w:pStyle w:val="Heading2"/>
      </w:pPr>
      <w:r>
        <w:rPr>
          <w:color w:val="2563EB"/>
          <w:sz w:val="24"/>
        </w:rPr>
        <w:t>7F — New table: Replenishment Lanes (weekly)</w:t>
      </w:r>
    </w:p>
    <w:p>
      <w:r>
        <w:rPr>
          <w:b w:val="0"/>
          <w:i w:val="0"/>
          <w:sz w:val="20"/>
        </w:rPr>
        <w:t>One row per store per planning cycle. Required for the entire Replenishment &amp; Dispatch screen.</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Column</w:t>
            </w:r>
          </w:p>
        </w:tc>
        <w:tc>
          <w:tcPr>
            <w:tcW w:type="dxa" w:w="4703"/>
            <w:shd w:val="clear" w:color="auto" w:fill="1E40AF"/>
          </w:tcPr>
          <w:p>
            <w:r>
              <w:rPr>
                <w:b/>
                <w:color w:val="FFFFFF"/>
                <w:sz w:val="18"/>
              </w:rPr>
              <w:t>Why it is needed</w:t>
            </w:r>
          </w:p>
        </w:tc>
      </w:tr>
      <w:tr>
        <w:tc>
          <w:tcPr>
            <w:tcW w:type="dxa" w:w="4703"/>
          </w:tcPr>
          <w:p>
            <w:r>
              <w:rPr>
                <w:sz w:val="18"/>
              </w:rPr>
              <w:t>store_id</w:t>
            </w:r>
          </w:p>
        </w:tc>
        <w:tc>
          <w:tcPr>
            <w:tcW w:type="dxa" w:w="4703"/>
          </w:tcPr>
          <w:p>
            <w:r>
              <w:rPr>
                <w:sz w:val="18"/>
              </w:rPr>
              <w:t>Links to store master.</w:t>
            </w:r>
          </w:p>
        </w:tc>
      </w:tr>
      <w:tr>
        <w:tc>
          <w:tcPr>
            <w:tcW w:type="dxa" w:w="4703"/>
            <w:shd w:val="clear" w:color="auto" w:fill="EFF6FF"/>
          </w:tcPr>
          <w:p>
            <w:r>
              <w:rPr>
                <w:sz w:val="18"/>
              </w:rPr>
              <w:t>week_start_date</w:t>
            </w:r>
          </w:p>
        </w:tc>
        <w:tc>
          <w:tcPr>
            <w:tcW w:type="dxa" w:w="4703"/>
            <w:shd w:val="clear" w:color="auto" w:fill="EFF6FF"/>
          </w:tcPr>
          <w:p>
            <w:r>
              <w:rPr>
                <w:sz w:val="18"/>
              </w:rPr>
              <w:t>Planning cycle week.</w:t>
            </w:r>
          </w:p>
        </w:tc>
      </w:tr>
      <w:tr>
        <w:tc>
          <w:tcPr>
            <w:tcW w:type="dxa" w:w="4703"/>
          </w:tcPr>
          <w:p>
            <w:r>
              <w:rPr>
                <w:sz w:val="18"/>
              </w:rPr>
              <w:t>sku_count</w:t>
            </w:r>
          </w:p>
        </w:tc>
        <w:tc>
          <w:tcPr>
            <w:tcW w:type="dxa" w:w="4703"/>
          </w:tcPr>
          <w:p>
            <w:r>
              <w:rPr>
                <w:sz w:val="18"/>
              </w:rPr>
              <w:t>Number of SKUs on this DC-to-store load.</w:t>
            </w:r>
          </w:p>
        </w:tc>
      </w:tr>
      <w:tr>
        <w:tc>
          <w:tcPr>
            <w:tcW w:type="dxa" w:w="4703"/>
            <w:shd w:val="clear" w:color="auto" w:fill="EFF6FF"/>
          </w:tcPr>
          <w:p>
            <w:r>
              <w:rPr>
                <w:sz w:val="18"/>
              </w:rPr>
              <w:t>total_units</w:t>
            </w:r>
          </w:p>
        </w:tc>
        <w:tc>
          <w:tcPr>
            <w:tcW w:type="dxa" w:w="4703"/>
            <w:shd w:val="clear" w:color="auto" w:fill="EFF6FF"/>
          </w:tcPr>
          <w:p>
            <w:r>
              <w:rPr>
                <w:sz w:val="18"/>
              </w:rPr>
              <w:t>Total units dispatched on this lane.</w:t>
            </w:r>
          </w:p>
        </w:tc>
      </w:tr>
      <w:tr>
        <w:tc>
          <w:tcPr>
            <w:tcW w:type="dxa" w:w="4703"/>
          </w:tcPr>
          <w:p>
            <w:r>
              <w:rPr>
                <w:sz w:val="18"/>
              </w:rPr>
              <w:t>truck_fill_pct</w:t>
            </w:r>
          </w:p>
        </w:tc>
        <w:tc>
          <w:tcPr>
            <w:tcW w:type="dxa" w:w="4703"/>
          </w:tcPr>
          <w:p>
            <w:r>
              <w:rPr>
                <w:sz w:val="18"/>
              </w:rPr>
              <w:t>Truck utilisation % — shown in the plan table and the Truck Utilisation KPI tile.</w:t>
            </w:r>
          </w:p>
        </w:tc>
      </w:tr>
      <w:tr>
        <w:tc>
          <w:tcPr>
            <w:tcW w:type="dxa" w:w="4703"/>
            <w:shd w:val="clear" w:color="auto" w:fill="EFF6FF"/>
          </w:tcPr>
          <w:p>
            <w:r>
              <w:rPr>
                <w:sz w:val="18"/>
              </w:rPr>
              <w:t>mode</w:t>
            </w:r>
          </w:p>
        </w:tc>
        <w:tc>
          <w:tcPr>
            <w:tcW w:type="dxa" w:w="4703"/>
            <w:shd w:val="clear" w:color="auto" w:fill="EFF6FF"/>
          </w:tcPr>
          <w:p>
            <w:r>
              <w:rPr>
                <w:sz w:val="18"/>
              </w:rPr>
              <w:t>Shipment mode: FTL, FTL consolidated, or Milk-run.</w:t>
            </w:r>
          </w:p>
        </w:tc>
      </w:tr>
      <w:tr>
        <w:tc>
          <w:tcPr>
            <w:tcW w:type="dxa" w:w="4703"/>
          </w:tcPr>
          <w:p>
            <w:r>
              <w:rPr>
                <w:sz w:val="18"/>
              </w:rPr>
              <w:t>freight_cost</w:t>
            </w:r>
          </w:p>
        </w:tc>
        <w:tc>
          <w:tcPr>
            <w:tcW w:type="dxa" w:w="4703"/>
          </w:tcPr>
          <w:p>
            <w:r>
              <w:rPr>
                <w:sz w:val="18"/>
              </w:rPr>
              <w:t>Actual freight cost for this lane — shown in the plan table and the Transport Cost KPI.</w:t>
            </w:r>
          </w:p>
        </w:tc>
      </w:tr>
      <w:tr>
        <w:tc>
          <w:tcPr>
            <w:tcW w:type="dxa" w:w="4703"/>
            <w:shd w:val="clear" w:color="auto" w:fill="EFF6FF"/>
          </w:tcPr>
          <w:p>
            <w:r>
              <w:rPr>
                <w:sz w:val="18"/>
              </w:rPr>
              <w:t>freight_cost_baseline</w:t>
            </w:r>
          </w:p>
        </w:tc>
        <w:tc>
          <w:tcPr>
            <w:tcW w:type="dxa" w:w="4703"/>
            <w:shd w:val="clear" w:color="auto" w:fill="EFF6FF"/>
          </w:tcPr>
          <w:p>
            <w:r>
              <w:rPr>
                <w:sz w:val="18"/>
              </w:rPr>
              <w:t>What the freight would have cost without AI lane optimisation — required for the green "vs baseline" saving % column.</w:t>
            </w:r>
          </w:p>
        </w:tc>
      </w:tr>
      <w:tr>
        <w:tc>
          <w:tcPr>
            <w:tcW w:type="dxa" w:w="4703"/>
          </w:tcPr>
          <w:p>
            <w:r>
              <w:rPr>
                <w:sz w:val="18"/>
              </w:rPr>
              <w:t>approved</w:t>
            </w:r>
          </w:p>
        </w:tc>
        <w:tc>
          <w:tcPr>
            <w:tcW w:type="dxa" w:w="4703"/>
          </w:tcPr>
          <w:p>
            <w:r>
              <w:rPr>
                <w:sz w:val="18"/>
              </w:rPr>
              <w:t>Boolean — whether the planner has approved and released the DRP order.</w:t>
            </w:r>
          </w:p>
        </w:tc>
      </w:tr>
    </w:tbl>
    <w:p/>
    <w:p>
      <w:pPr>
        <w:pStyle w:val="Heading1"/>
      </w:pPr>
      <w:r>
        <w:rPr>
          <w:color w:val="0F172A"/>
          <w:sz w:val="28"/>
        </w:rPr>
        <w:t>8.  Quick Reference — What to Ask the Data Team</w:t>
      </w:r>
    </w:p>
    <w:p>
      <w:r>
        <w:rPr>
          <w:b w:val="0"/>
          <w:i w:val="0"/>
          <w:sz w:val="20"/>
        </w:rPr>
        <w:t>Hand this checklist to the data team as the gap closure action list.</w:t>
      </w:r>
    </w:p>
    <w:p/>
    <w:p>
      <w:pPr>
        <w:pStyle w:val="ListBullet"/>
      </w:pPr>
      <w:r>
        <w:rPr>
          <w:b/>
          <w:sz w:val="20"/>
        </w:rPr>
        <w:t>Add in_transit_units to Table 2 (On-Hand Inventory)</w:t>
      </w:r>
    </w:p>
    <w:p>
      <w:pPr>
        <w:pStyle w:val="ListBullet"/>
      </w:pPr>
      <w:r>
        <w:rPr>
          <w:b/>
          <w:sz w:val="20"/>
        </w:rPr>
        <w:t>Add safety_stock to Table 2 (On-Hand Inventory)</w:t>
      </w:r>
    </w:p>
    <w:p>
      <w:pPr>
        <w:pStyle w:val="ListBullet"/>
      </w:pPr>
      <w:r>
        <w:rPr>
          <w:b/>
          <w:sz w:val="20"/>
        </w:rPr>
        <w:t>Add Trend units and Event units columns to Table 1 (Demand Forecasting)</w:t>
      </w:r>
    </w:p>
    <w:p>
      <w:pPr>
        <w:pStyle w:val="ListBullet"/>
      </w:pPr>
      <w:r>
        <w:rPr>
          <w:b/>
          <w:sz w:val="20"/>
        </w:rPr>
        <w:t>Create a Store Master table with: store_id, store_name, format, max_capacity, lead_time_days, target_service_level</w:t>
      </w:r>
    </w:p>
    <w:p>
      <w:pPr>
        <w:pStyle w:val="ListBullet"/>
      </w:pPr>
      <w:r>
        <w:rPr>
          <w:b/>
          <w:sz w:val="20"/>
        </w:rPr>
        <w:t>Create a SKU Master table with: sku_id, sku_name, category, unit_price</w:t>
      </w:r>
    </w:p>
    <w:p>
      <w:pPr>
        <w:pStyle w:val="ListBullet"/>
      </w:pPr>
      <w:r>
        <w:rPr>
          <w:b/>
          <w:sz w:val="20"/>
        </w:rPr>
        <w:t>Create a Store KPIs table (weekly) with: service_level_pct, fill_rate_pct (both with prior-week values), open_loads_count, transport_cost_mtd, transport_cost_plan</w:t>
      </w:r>
    </w:p>
    <w:p>
      <w:pPr>
        <w:pStyle w:val="ListBullet"/>
      </w:pPr>
      <w:r>
        <w:rPr>
          <w:b/>
          <w:sz w:val="20"/>
        </w:rPr>
        <w:t>Create a Replenishment Lanes table (weekly) with: sku_count, total_units, truck_fill_pct, mode, freight_cost, freight_cost_baseline, approved</w:t>
      </w:r>
    </w:p>
    <w:p/>
    <w:p>
      <w:r>
        <w:rPr>
          <w:b/>
          <w:i w:val="0"/>
          <w:sz w:val="20"/>
        </w:rPr>
        <w:t>Once all seven items above are delivered, the platform will have 100% data coverage across all three screens and all KPI tiles.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