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73A44"/>
          <w:sz w:val="48"/>
        </w:rPr>
        <w:t>Synthetic self-history narrative</w:t>
      </w:r>
    </w:p>
    <w:p>
      <w:pPr>
        <w:spacing w:after="280"/>
      </w:pPr>
      <w:r>
        <w:rPr>
          <w:rFonts w:ascii="Calibri" w:hAnsi="Calibri"/>
          <w:b w:val="0"/>
          <w:i/>
          <w:color w:val="66737A"/>
          <w:sz w:val="21"/>
        </w:rPr>
        <w:t>Entirely synthetic input document for Clarity POC testing</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tcPr>
          <w:p>
            <w:pPr>
              <w:spacing w:after="0"/>
            </w:pPr>
            <w:r>
              <w:rPr>
                <w:rFonts w:ascii="Calibri" w:hAnsi="Calibri"/>
                <w:b/>
                <w:sz w:val="20"/>
              </w:rPr>
              <w:t>Reporter</w:t>
            </w:r>
          </w:p>
        </w:tc>
        <w:tc>
          <w:tcPr>
            <w:tcW w:type="dxa" w:w="6660"/>
            <w:tcMar>
              <w:top w:w="80" w:type="dxa"/>
              <w:start w:w="120" w:type="dxa"/>
              <w:bottom w:w="80" w:type="dxa"/>
              <w:end w:w="120" w:type="dxa"/>
            </w:tcMar>
            <w:vAlign w:val="center"/>
          </w:tcPr>
          <w:p>
            <w:pPr>
              <w:spacing w:after="0"/>
            </w:pPr>
            <w:r>
              <w:rPr>
                <w:rFonts w:ascii="Calibri" w:hAnsi="Calibri"/>
                <w:sz w:val="20"/>
              </w:rPr>
              <w:t>patient</w:t>
            </w:r>
          </w:p>
        </w:tc>
      </w:tr>
      <w:tr>
        <w:tc>
          <w:tcPr>
            <w:tcW w:type="dxa" w:w="2700"/>
            <w:tcMar>
              <w:top w:w="80" w:type="dxa"/>
              <w:start w:w="120" w:type="dxa"/>
              <w:bottom w:w="80" w:type="dxa"/>
              <w:end w:w="120" w:type="dxa"/>
            </w:tcMar>
            <w:vAlign w:val="center"/>
          </w:tcPr>
          <w:p>
            <w:pPr>
              <w:spacing w:after="0"/>
            </w:pPr>
            <w:r>
              <w:rPr>
                <w:rFonts w:ascii="Calibri" w:hAnsi="Calibri"/>
                <w:b/>
                <w:sz w:val="20"/>
              </w:rPr>
              <w:t>Setting</w:t>
            </w:r>
          </w:p>
        </w:tc>
        <w:tc>
          <w:tcPr>
            <w:tcW w:type="dxa" w:w="6660"/>
            <w:tcMar>
              <w:top w:w="80" w:type="dxa"/>
              <w:start w:w="120" w:type="dxa"/>
              <w:bottom w:w="80" w:type="dxa"/>
              <w:end w:w="120" w:type="dxa"/>
            </w:tcMar>
            <w:vAlign w:val="center"/>
          </w:tcPr>
          <w:p>
            <w:pPr>
              <w:spacing w:after="0"/>
            </w:pPr>
            <w:r>
              <w:rPr>
                <w:rFonts w:ascii="Calibri" w:hAnsi="Calibri"/>
                <w:sz w:val="20"/>
              </w:rPr>
              <w:t>home</w:t>
            </w:r>
          </w:p>
        </w:tc>
      </w:tr>
      <w:tr>
        <w:tc>
          <w:tcPr>
            <w:tcW w:type="dxa" w:w="2700"/>
            <w:tcMar>
              <w:top w:w="80" w:type="dxa"/>
              <w:start w:w="120" w:type="dxa"/>
              <w:bottom w:w="80" w:type="dxa"/>
              <w:end w:w="120" w:type="dxa"/>
            </w:tcMar>
            <w:vAlign w:val="center"/>
          </w:tcPr>
          <w:p>
            <w:pPr>
              <w:spacing w:after="0"/>
            </w:pPr>
            <w:r>
              <w:rPr>
                <w:rFonts w:ascii="Calibri" w:hAnsi="Calibri"/>
                <w:b/>
                <w:sz w:val="20"/>
              </w:rPr>
              <w:t>Source type</w:t>
            </w:r>
          </w:p>
        </w:tc>
        <w:tc>
          <w:tcPr>
            <w:tcW w:type="dxa" w:w="6660"/>
            <w:tcMar>
              <w:top w:w="80" w:type="dxa"/>
              <w:start w:w="120" w:type="dxa"/>
              <w:bottom w:w="80" w:type="dxa"/>
              <w:end w:w="120" w:type="dxa"/>
            </w:tcMar>
            <w:vAlign w:val="center"/>
          </w:tcPr>
          <w:p>
            <w:pPr>
              <w:spacing w:after="0"/>
            </w:pPr>
            <w:r>
              <w:rPr>
                <w:rFonts w:ascii="Calibri" w:hAnsi="Calibri"/>
                <w:sz w:val="20"/>
              </w:rPr>
              <w:t>questionnaire_narrative</w:t>
            </w:r>
          </w:p>
        </w:tc>
      </w:tr>
    </w:tbl>
    <w:p>
      <w:pPr>
        <w:pStyle w:val="Heading1"/>
      </w:pPr>
      <w:r>
        <w:t>Developmental and education history</w:t>
      </w:r>
    </w:p>
    <w:p>
      <w:r>
        <w:t>SK recalls being distractible and disorganised before age 12. Family kept a basket at the front door because school materials were frequently lost. Teachers described rushed work, avoidable errors, talking, and inconsistent completion despite strong reasoning skills. No developmental milestone delays were reported.</w:t>
      </w:r>
    </w:p>
    <w:p>
      <w:pPr>
        <w:pStyle w:val="Heading1"/>
      </w:pPr>
      <w:r>
        <w:t>Current daily functioning</w:t>
      </w:r>
    </w:p>
    <w:p>
      <w:r>
        <w:t>At home, cooking is sometimes interrupted by another task, household paperwork accumulates, and multi-step chores require written lists. At work, notifications derail focus, estimates are overly optimistic, and detailed checking is difficult. In friendships, SK sometimes interrupts or forgets to reply.</w:t>
      </w:r>
    </w:p>
    <w:p>
      <w:pPr>
        <w:pStyle w:val="Heading1"/>
      </w:pPr>
      <w:r>
        <w:t>Health and differential information</w:t>
      </w:r>
    </w:p>
    <w:p>
      <w:r>
        <w:t>A recent general-practice review found no reported neurological illness, untreated thyroid concern, or medication effect likely to explain the pattern. Mild deadline-related anxiety is present, but symptoms also occur during holidays and enjoyable low-stress tasks. Sleep is generally regular.</w:t>
      </w:r>
    </w:p>
    <w:p>
      <w:pPr>
        <w:pStyle w:val="Heading1"/>
      </w:pPr>
      <w:r>
        <w:t>Strengths and supports</w:t>
      </w:r>
    </w:p>
    <w:p>
      <w:r>
        <w:t>SK describes creativity, humour, strong visual reasoning, empathy, and willingness to use calendars, body doubling, noise reduction, and task breakdown.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66737A"/>
        <w:sz w:val="16"/>
      </w:rPr>
      <w:t>Not for clinical use - entirely fictional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37A"/>
        <w:sz w:val="17"/>
      </w:rPr>
      <w:t>SYNTHETIC TEST FIXTURE  |  01_adult_clear_multisetting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Synthetic self-history narrative</dc:title>
  <dc:subject>Synthetic ADHD report automation test fixture</dc:subject>
  <dc:creator>Clarity Fixture Generator</dc:creator>
  <cp:keywords>synthetic,test fixture,no patient data</cp:keywords>
  <dc:description>Entirely fictional. Not for clinical use.</dc:description>
  <cp:lastModifiedBy/>
  <cp:revision>1</cp:revision>
  <dcterms:created xsi:type="dcterms:W3CDTF">2026-01-01T00:00:00Z</dcterms:created>
  <dcterms:modified xsi:type="dcterms:W3CDTF">2026-01-01T00:00:00Z</dcterms:modified>
  <cp:category/>
</cp:coreProperties>
</file>