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173A44"/>
          <w:sz w:val="48"/>
        </w:rPr>
        <w:t>Synthetic parent developmental history</w:t>
      </w:r>
    </w:p>
    <w:p>
      <w:pPr>
        <w:spacing w:after="280"/>
      </w:pPr>
      <w:r>
        <w:rPr>
          <w:rFonts w:ascii="Calibri" w:hAnsi="Calibri"/>
          <w:b w:val="0"/>
          <w:i/>
          <w:color w:val="66737A"/>
          <w:sz w:val="21"/>
        </w:rPr>
        <w:t>Entirely synthetic input document for Clarity POC testing</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tcMar>
              <w:top w:w="80" w:type="dxa"/>
              <w:start w:w="120" w:type="dxa"/>
              <w:bottom w:w="80" w:type="dxa"/>
              <w:end w:w="120" w:type="dxa"/>
            </w:tcMar>
            <w:vAlign w:val="center"/>
          </w:tcPr>
          <w:p>
            <w:pPr>
              <w:spacing w:after="0"/>
            </w:pPr>
            <w:r>
              <w:rPr>
                <w:rFonts w:ascii="Calibri" w:hAnsi="Calibri"/>
                <w:b/>
                <w:sz w:val="20"/>
              </w:rPr>
              <w:t>Reporter</w:t>
            </w:r>
          </w:p>
        </w:tc>
        <w:tc>
          <w:tcPr>
            <w:tcW w:type="dxa" w:w="6660"/>
            <w:tcMar>
              <w:top w:w="80" w:type="dxa"/>
              <w:start w:w="120" w:type="dxa"/>
              <w:bottom w:w="80" w:type="dxa"/>
              <w:end w:w="120" w:type="dxa"/>
            </w:tcMar>
            <w:vAlign w:val="center"/>
          </w:tcPr>
          <w:p>
            <w:pPr>
              <w:spacing w:after="0"/>
            </w:pPr>
            <w:r>
              <w:rPr>
                <w:rFonts w:ascii="Calibri" w:hAnsi="Calibri"/>
                <w:sz w:val="20"/>
              </w:rPr>
              <w:t>mother and father</w:t>
            </w:r>
          </w:p>
        </w:tc>
      </w:tr>
      <w:tr>
        <w:tc>
          <w:tcPr>
            <w:tcW w:type="dxa" w:w="2700"/>
            <w:tcMar>
              <w:top w:w="80" w:type="dxa"/>
              <w:start w:w="120" w:type="dxa"/>
              <w:bottom w:w="80" w:type="dxa"/>
              <w:end w:w="120" w:type="dxa"/>
            </w:tcMar>
            <w:vAlign w:val="center"/>
          </w:tcPr>
          <w:p>
            <w:pPr>
              <w:spacing w:after="0"/>
            </w:pPr>
            <w:r>
              <w:rPr>
                <w:rFonts w:ascii="Calibri" w:hAnsi="Calibri"/>
                <w:b/>
                <w:sz w:val="20"/>
              </w:rPr>
              <w:t>Setting</w:t>
            </w:r>
          </w:p>
        </w:tc>
        <w:tc>
          <w:tcPr>
            <w:tcW w:type="dxa" w:w="6660"/>
            <w:tcMar>
              <w:top w:w="80" w:type="dxa"/>
              <w:start w:w="120" w:type="dxa"/>
              <w:bottom w:w="80" w:type="dxa"/>
              <w:end w:w="120" w:type="dxa"/>
            </w:tcMar>
            <w:vAlign w:val="center"/>
          </w:tcPr>
          <w:p>
            <w:pPr>
              <w:spacing w:after="0"/>
            </w:pPr>
            <w:r>
              <w:rPr>
                <w:rFonts w:ascii="Calibri" w:hAnsi="Calibri"/>
                <w:sz w:val="20"/>
              </w:rPr>
              <w:t>home</w:t>
            </w:r>
          </w:p>
        </w:tc>
      </w:tr>
      <w:tr>
        <w:tc>
          <w:tcPr>
            <w:tcW w:type="dxa" w:w="2700"/>
            <w:tcMar>
              <w:top w:w="80" w:type="dxa"/>
              <w:start w:w="120" w:type="dxa"/>
              <w:bottom w:w="80" w:type="dxa"/>
              <w:end w:w="120" w:type="dxa"/>
            </w:tcMar>
            <w:vAlign w:val="center"/>
          </w:tcPr>
          <w:p>
            <w:pPr>
              <w:spacing w:after="0"/>
            </w:pPr>
            <w:r>
              <w:rPr>
                <w:rFonts w:ascii="Calibri" w:hAnsi="Calibri"/>
                <w:b/>
                <w:sz w:val="20"/>
              </w:rPr>
              <w:t>Source type</w:t>
            </w:r>
          </w:p>
        </w:tc>
        <w:tc>
          <w:tcPr>
            <w:tcW w:type="dxa" w:w="6660"/>
            <w:tcMar>
              <w:top w:w="80" w:type="dxa"/>
              <w:start w:w="120" w:type="dxa"/>
              <w:bottom w:w="80" w:type="dxa"/>
              <w:end w:w="120" w:type="dxa"/>
            </w:tcMar>
            <w:vAlign w:val="center"/>
          </w:tcPr>
          <w:p>
            <w:pPr>
              <w:spacing w:after="0"/>
            </w:pPr>
            <w:r>
              <w:rPr>
                <w:rFonts w:ascii="Calibri" w:hAnsi="Calibri"/>
                <w:sz w:val="20"/>
              </w:rPr>
              <w:t>collateral_report</w:t>
            </w:r>
          </w:p>
        </w:tc>
      </w:tr>
    </w:tbl>
    <w:p>
      <w:pPr>
        <w:pStyle w:val="Heading1"/>
      </w:pPr>
      <w:r>
        <w:t>Early development</w:t>
      </w:r>
    </w:p>
    <w:p>
      <w:r>
        <w:t>Pregnancy, birth, hearing, vision, and developmental milestones were reported as unremarkable. From early primary school LM needed repeated prompts, visual routines, and adult checking to complete morning and homework tasks.</w:t>
      </w:r>
    </w:p>
    <w:p>
      <w:pPr>
        <w:pStyle w:val="Heading1"/>
      </w:pPr>
      <w:r>
        <w:t>Mother's observations</w:t>
      </w:r>
    </w:p>
    <w:p>
      <w:r>
        <w:t>At mother's home, detailed routines and one-to-one reminders mean tasks are usually completed. Mother sees some forgetfulness but questions whether the problem is severe outside school and believes anxiety may account for much of the current presentation.</w:t>
      </w:r>
    </w:p>
    <w:p>
      <w:pPr>
        <w:pStyle w:val="Heading1"/>
      </w:pPr>
      <w:r>
        <w:t>Father's observations</w:t>
      </w:r>
    </w:p>
    <w:p>
      <w:r>
        <w:t>At father's home, where routines are less externally managed, LM forgets chores, leaves school materials behind, underestimates time, and abandons multi-step tasks. Father recalls the same pattern before age 12.</w:t>
      </w:r>
    </w:p>
    <w:p>
      <w:pPr>
        <w:pStyle w:val="Heading1"/>
      </w:pPr>
      <w:r>
        <w:t>Family, health, and strengths</w:t>
      </w:r>
    </w:p>
    <w:p>
      <w:r>
        <w:t>There is no reported neurological disorder, substance use, mania, or major depressive episode. Grade-related worry is present. LM is creative, kind to younger cousins, persistent with drawing, and responds well to calm structure.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color w:val="66737A"/>
        <w:sz w:val="16"/>
      </w:rPr>
      <w:t>Not for clinical use - entirely fictional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6737A"/>
        <w:sz w:val="17"/>
      </w:rPr>
      <w:t>SYNTHETIC TEST FIXTURE  |  02_adolescent_conflicting_reporters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Synthetic parent developmental history</dc:title>
  <dc:subject>Synthetic ADHD report automation test fixture</dc:subject>
  <dc:creator>Clarity Fixture Generator</dc:creator>
  <cp:keywords>synthetic,test fixture,no patient data</cp:keywords>
  <dc:description>Entirely fictional. Not for clinical use.</dc:description>
  <cp:lastModifiedBy/>
  <cp:revision>1</cp:revision>
  <dcterms:created xsi:type="dcterms:W3CDTF">2026-01-01T00:00:00Z</dcterms:created>
  <dcterms:modified xsi:type="dcterms:W3CDTF">2026-01-01T00:00:00Z</dcterms:modified>
  <cp:category/>
</cp:coreProperties>
</file>