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A44"/>
          <w:sz w:val="48"/>
        </w:rPr>
        <w:t>Synthetic self-context narrative</w:t>
      </w:r>
    </w:p>
    <w:p>
      <w:pPr>
        <w:spacing w:after="280"/>
      </w:pPr>
      <w:r>
        <w:rPr>
          <w:rFonts w:ascii="Calibri" w:hAnsi="Calibri"/>
          <w:b w:val="0"/>
          <w:i/>
          <w:color w:val="66737A"/>
          <w:sz w:val="21"/>
        </w:rPr>
        <w:t>Entirely synthetic input document for Clarity POC testing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Reporter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patient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home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Source 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questionnaire_narrative</w:t>
            </w:r>
          </w:p>
        </w:tc>
      </w:tr>
    </w:tbl>
    <w:p>
      <w:pPr>
        <w:pStyle w:val="Heading1"/>
      </w:pPr>
      <w:r>
        <w:t>Timeline</w:t>
      </w:r>
    </w:p>
    <w:p>
      <w:r>
        <w:t>Concentration problems began in mid-adulthood alongside rotating shifts, restricted sleep, caring stress, and increased worry. RB reports no comparable childhood or adolescent pattern.</w:t>
      </w:r>
    </w:p>
    <w:p>
      <w:pPr>
        <w:pStyle w:val="Heading1"/>
      </w:pPr>
      <w:r>
        <w:t>Function by context</w:t>
      </w:r>
    </w:p>
    <w:p>
      <w:r>
        <w:t>Errors and rereading occur after night duty. With adequate sleep, RB completes household administration, follows recipes, keeps appointments, and sustains hobbies without notable organisation problems.</w:t>
      </w:r>
    </w:p>
    <w:p>
      <w:pPr>
        <w:pStyle w:val="Heading1"/>
      </w:pPr>
      <w:r>
        <w:t>Health and mental health</w:t>
      </w:r>
    </w:p>
    <w:p>
      <w:r>
        <w:t>Sleep is fragmented around night shifts. Anxiety centres on work safety and a family member's health. RB reports no neurological illness, head injury, mania, psychosis, substance misuse, or current safety risk.</w:t>
      </w:r>
    </w:p>
    <w:p>
      <w:pPr>
        <w:pStyle w:val="Heading1"/>
      </w:pPr>
      <w:r>
        <w:t>Strengths</w:t>
      </w:r>
    </w:p>
    <w:p>
      <w:r>
        <w:t>RB identifies careful practice, empathy, stable relationships, exercise, insight, and readiness to seek sleep and anxiety support.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737A"/>
        <w:sz w:val="16"/>
      </w:rPr>
      <w:t>Not for clinical use - entirely 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37A"/>
        <w:sz w:val="17"/>
      </w:rPr>
      <w:t>SYNTHETIC TEST FIXTURE  |  03_adult_negative_anxiety_sleep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self-context narrative</dc:title>
  <dc:subject>Synthetic ADHD report automation test fixture</dc:subject>
  <dc:creator>Clarity Fixture Generator</dc:creator>
  <cp:keywords>synthetic,test fixture,no patient data</cp:keywords>
  <dc:description>Entirely fictional. Not for clinical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