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A44"/>
          <w:sz w:val="48"/>
        </w:rPr>
        <w:t>Synthetic maternal developmental history</w:t>
      </w:r>
    </w:p>
    <w:p>
      <w:pPr>
        <w:spacing w:after="280"/>
      </w:pPr>
      <w:r>
        <w:rPr>
          <w:rFonts w:ascii="Calibri" w:hAnsi="Calibri"/>
          <w:b w:val="0"/>
          <w:i/>
          <w:color w:val="66737A"/>
          <w:sz w:val="21"/>
        </w:rPr>
        <w:t>Entirely synthetic input document for Clarity POC testing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Reporter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mother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Source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collateral_report</w:t>
            </w:r>
          </w:p>
        </w:tc>
      </w:tr>
    </w:tbl>
    <w:p>
      <w:pPr>
        <w:pStyle w:val="Heading1"/>
      </w:pPr>
      <w:r>
        <w:t>Development</w:t>
      </w:r>
    </w:p>
    <w:p>
      <w:r>
        <w:t>Pregnancy, birth, milestones, hearing, and vision were reported as unremarkable. From early primary school AP needed close homework supervision, lost notices, rushed work, talked frequently, and moved constantly.</w:t>
      </w:r>
    </w:p>
    <w:p>
      <w:pPr>
        <w:pStyle w:val="Heading1"/>
      </w:pPr>
      <w:r>
        <w:t>Adolescent functioning</w:t>
      </w:r>
    </w:p>
    <w:p>
      <w:r>
        <w:t>AP achieved good marks with extensive parental structure, late nights, and repeated checking. Her room and school bag were disorganised, and family arguments occurred around forgotten chores and time management.</w:t>
      </w:r>
    </w:p>
    <w:p>
      <w:pPr>
        <w:pStyle w:val="Heading1"/>
      </w:pPr>
      <w:r>
        <w:t>Mental health and health context</w:t>
      </w:r>
    </w:p>
    <w:p>
      <w:r>
        <w:t>Anxiety became prominent in later adolescence, after attention and activity concerns were already established. Mother reports no childhood seizure, significant head injury, substance problem, manic episode, or psychosis.</w:t>
      </w:r>
    </w:p>
    <w:p>
      <w:pPr>
        <w:pStyle w:val="Heading1"/>
      </w:pPr>
      <w:r>
        <w:t>Strengths</w:t>
      </w:r>
    </w:p>
    <w:p>
      <w:r>
        <w:t>AP is described as warm, imaginative, verbally skilled, resilient, and strongly motivated by helping others.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737A"/>
        <w:sz w:val="16"/>
      </w:rPr>
      <w:t>Not for clinical use - entirely 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37A"/>
        <w:sz w:val="17"/>
      </w:rPr>
      <w:t>SYNTHETIC TEST FIXTURE  |  05_adult_comorbid_and_conflicting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maternal developmental history</dc:title>
  <dc:subject>Synthetic ADHD report automation test fixture</dc:subject>
  <dc:creator>Clarity Fixture Generator</dc:creator>
  <cp:keywords>synthetic,test fixture,no patient data</cp:keywords>
  <dc:description>Entirely fictional. Not for clinical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