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spacing w:lineRule="auto" w:line="276"/>
        <w:ind w:left="709" w:hanging="709"/>
        <w:jc w:val="center"/>
        <w:rPr/>
      </w:pPr>
      <w:bookmarkStart w:id="0" w:name="_Toc40212112"/>
      <w:bookmarkStart w:id="1" w:name="_Toc51021891"/>
      <w:r>
        <w:rPr/>
        <w:t>Содержание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spacing w:lineRule="auto" w:line="276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sz w:val="22"/>
              <w:rFonts w:eastAsia="" w:ascii="Calibri" w:hAnsi="Calibri"/>
              <w:lang w:eastAsia="ru-RU"/>
            </w:rPr>
            <w:instrText> TOC \z \o "1-3" \t "ГОСТ Заголовок 1,1,ГОСТ Заголовок 2,2" \h</w:instrText>
          </w:r>
          <w:r>
            <w:rPr>
              <w:sz w:val="22"/>
              <w:rFonts w:eastAsia="" w:ascii="Calibri" w:hAnsi="Calibri"/>
              <w:lang w:eastAsia="ru-RU"/>
            </w:rPr>
            <w:fldChar w:fldCharType="separate"/>
          </w:r>
          <w:r>
            <w:rPr>
              <w:rFonts w:eastAsia="" w:eastAsiaTheme="minorEastAsia" w:ascii="Calibri" w:hAnsi="Calibri"/>
              <w:sz w:val="22"/>
              <w:lang w:eastAsia="ru-RU"/>
            </w:rPr>
          </w:r>
        </w:p>
        <w:p>
          <w:pPr>
            <w:pStyle w:val="Contents1"/>
            <w:spacing w:lineRule="auto" w:line="276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0218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_Toc51021892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lineRule="auto" w:line="276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021893">
            <w:r>
              <w:rPr>
                <w:webHidden/>
                <w:rStyle w:val="IndexLink"/>
                <w:vanish w:val="false"/>
              </w:rPr>
              <w:t xml:space="preserve">1 Общемировые тенденции развития </w:t>
            </w:r>
            <w:r>
              <w:rPr>
                <w:rStyle w:val="IndexLink"/>
                <w:lang w:val="en-US"/>
              </w:rPr>
              <w:t>IT</w:t>
            </w:r>
            <w:r>
              <w:rPr>
                <w:rStyle w:val="IndexLink"/>
              </w:rPr>
              <w:t>-отрасли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_Toc51021893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276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0218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_Toc51021894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Общий размер и лидеры отрасли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276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0218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_Toc51021895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Основные векторы развития отрасли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lineRule="auto" w:line="276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0218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_Toc51021896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 Анализ ситуации на белорусском рынке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276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0218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_Toc51021897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Парк высоких технологий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276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0218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_Toc51021898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Общий анализ отрасли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276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0218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_Toc51021899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2.3. Структура рынка ИКТ и ПО в Беларуси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276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0219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_Toc51021900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Аутсорсинг как явление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lineRule="auto" w:line="276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021902">
            <w:r>
              <w:rPr>
                <w:webHidden/>
                <w:rStyle w:val="IndexLink"/>
                <w:vanish w:val="false"/>
              </w:rPr>
              <w:t>Заключение</w:t>
              <w:tab/>
              <w:t>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_Toc51021902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Calibri" w:cs="" w:cstheme="minorBidi" w:eastAsiaTheme="minorHAnsi"/>
                <w:vanish w:val="false"/>
                <w:color w:val="auto"/>
                <w:kern w:val="0"/>
                <w:sz w:val="28"/>
                <w:szCs w:val="22"/>
                <w:lang w:val="ru-RU" w:eastAsia="en-US" w:bidi="ar-SA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lineRule="auto" w:line="276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1021903">
            <w:r>
              <w:rPr>
                <w:webHidden/>
                <w:rStyle w:val="IndexLink"/>
                <w:vanish w:val="false"/>
              </w:rPr>
              <w:t>Список использованных источников</w:t>
              <w:tab/>
              <w:t>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_Toc51021903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Calibri" w:cs="" w:cstheme="minorBidi" w:eastAsiaTheme="minorHAnsi"/>
                <w:vanish w:val="false"/>
                <w:color w:val="auto"/>
                <w:kern w:val="0"/>
                <w:sz w:val="28"/>
                <w:szCs w:val="22"/>
                <w:lang w:val="ru-RU" w:eastAsia="en-US" w:bidi="ar-SA"/>
              </w:rPr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8"/>
              <w:kern w:val="0"/>
              <w:szCs w:val="22"/>
              <w:vanish w:val="false"/>
              <w:rFonts w:eastAsia="Calibri" w:cs=""/>
              <w:color w:val="auto"/>
              <w:lang w:val="ru-RU" w:eastAsia="en-US" w:bidi="ar-SA"/>
            </w:rPr>
            <w:fldChar w:fldCharType="end"/>
          </w:r>
        </w:p>
      </w:sdtContent>
    </w:sdt>
    <w:p>
      <w:pPr>
        <w:pStyle w:val="Normal"/>
        <w:spacing w:lineRule="auto" w:line="276"/>
        <w:rPr>
          <w:rFonts w:ascii="Times New Roman" w:hAnsi="Times New Roman"/>
          <w:b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</w:r>
      <w:r>
        <w:br w:type="page"/>
      </w:r>
    </w:p>
    <w:p>
      <w:pPr>
        <w:pStyle w:val="11"/>
        <w:spacing w:lineRule="auto" w:line="276"/>
        <w:ind w:left="0" w:hanging="0"/>
        <w:jc w:val="center"/>
        <w:rPr/>
      </w:pPr>
      <w:bookmarkStart w:id="2" w:name="_Toc51021892"/>
      <w:r>
        <w:rPr/>
        <w:t>Введение</w:t>
      </w:r>
      <w:bookmarkEnd w:id="2"/>
    </w:p>
    <w:p>
      <w:pPr>
        <w:pStyle w:val="11"/>
        <w:spacing w:lineRule="auto" w:line="276"/>
        <w:ind w:left="0" w:hanging="0"/>
        <w:jc w:val="center"/>
        <w:rPr/>
      </w:pPr>
      <w:r>
        <w:rPr/>
      </w:r>
    </w:p>
    <w:p>
      <w:pPr>
        <w:pStyle w:val="Style22"/>
        <w:spacing w:lineRule="auto" w:line="276"/>
        <w:rPr/>
      </w:pPr>
      <w:r>
        <w:rPr/>
        <w:t xml:space="preserve">Рынок </w:t>
      </w:r>
      <w:r>
        <w:rPr>
          <w:lang w:val="en-US"/>
        </w:rPr>
        <w:t>IT</w:t>
      </w:r>
      <w:r>
        <w:rPr/>
        <w:t xml:space="preserve">-продуктов и услуг считается одним из самых быстроразвивающихся в мире. Современные технологии активно внедряются в нашу жизнь, что создаёт спрос на </w:t>
      </w:r>
      <w:r>
        <w:rPr>
          <w:lang w:val="en-US"/>
        </w:rPr>
        <w:t>IT</w:t>
      </w:r>
      <w:r>
        <w:rPr/>
        <w:t xml:space="preserve"> продукты и услуги, такие как: разработка различных видов ПО, включая веб-приложения, настольные приложения, ПО для встраиваемых систем, управляющих систем (микроконтроллеров) и ПО к ним, и т.д. Исследования в данной области ведутся в различных направлениях. Создаются продукты для использования в самых разных сферах жизни общества: от повышения качества жизни людей (всевозможные гаджеты, системы «Умный дом»), до применения в промышленности, космической индустрии.</w:t>
      </w:r>
    </w:p>
    <w:p>
      <w:pPr>
        <w:pStyle w:val="Style22"/>
        <w:spacing w:lineRule="auto" w:line="276"/>
        <w:rPr/>
      </w:pPr>
      <w:r>
        <w:rPr/>
        <w:t xml:space="preserve">Данные, собранные различными компаниями, исследующими </w:t>
      </w:r>
      <w:r>
        <w:rPr>
          <w:lang w:val="en-US"/>
        </w:rPr>
        <w:t>IT</w:t>
      </w:r>
      <w:r>
        <w:rPr/>
        <w:t xml:space="preserve"> рынок, показывают, что </w:t>
      </w:r>
      <w:r>
        <w:rPr>
          <w:lang w:val="en-US"/>
        </w:rPr>
        <w:t>IT</w:t>
      </w:r>
      <w:r>
        <w:rPr/>
        <w:t xml:space="preserve">-отрасль стала важнейшим элементом экономики многих развивающихся стран, таких как Индия, Филиппины, Болгария, и, конечно, Беларусь. </w:t>
      </w:r>
      <w:r>
        <w:rPr>
          <w:lang w:val="en-US"/>
        </w:rPr>
        <w:t>IT</w:t>
      </w:r>
      <w:r>
        <w:rPr/>
        <w:t>-отрасль в таких странах, как правило, приносит значительную долю дохода в государственный бюджет, создаёт новые рабочие места, поднимает международный авторитет страны.</w:t>
      </w:r>
    </w:p>
    <w:p>
      <w:pPr>
        <w:pStyle w:val="Style22"/>
        <w:spacing w:lineRule="auto" w:line="276"/>
        <w:rPr/>
      </w:pPr>
      <w:r>
        <w:rPr/>
        <w:t xml:space="preserve">Исследование состояния </w:t>
      </w:r>
      <w:r>
        <w:rPr>
          <w:lang w:val="en-US"/>
        </w:rPr>
        <w:t>IT</w:t>
      </w:r>
      <w:r>
        <w:rPr/>
        <w:t xml:space="preserve"> отрасли необходимо для многих целей. В частности, компаниям это позволяет отслеживать тренды развития и соответствующим образом изменять курс уже своего развития; государству в целом это позволяет отслеживать мировые тренды в крупнейших под-отраслях </w:t>
      </w:r>
      <w:r>
        <w:rPr>
          <w:lang w:val="en-US"/>
        </w:rPr>
        <w:t>IT</w:t>
      </w:r>
      <w:r>
        <w:rPr/>
        <w:t xml:space="preserve"> (например, декрет №8, принятый в Республике Беларусь, пришёлся на пик мировой заинтересованности в криптовалютах, и, среди прочего, содержал понятия, регулирующие отношения в данной под-отрасли).</w:t>
      </w:r>
    </w:p>
    <w:p>
      <w:pPr>
        <w:pStyle w:val="Normal"/>
        <w:spacing w:lineRule="auto" w:line="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pStyle w:val="11"/>
        <w:spacing w:lineRule="auto" w:line="276"/>
        <w:rPr/>
      </w:pPr>
      <w:bookmarkStart w:id="3" w:name="_Toc51021893"/>
      <w:r>
        <w:rPr/>
        <w:t xml:space="preserve">1 Общемировые тенденции развития </w:t>
      </w:r>
      <w:r>
        <w:rPr>
          <w:lang w:val="en-US"/>
        </w:rPr>
        <w:t>IT</w:t>
      </w:r>
      <w:r>
        <w:rPr/>
        <w:t>-отрасли</w:t>
      </w:r>
      <w:bookmarkEnd w:id="3"/>
    </w:p>
    <w:p>
      <w:pPr>
        <w:pStyle w:val="21"/>
        <w:spacing w:lineRule="auto" w:line="276"/>
        <w:rPr/>
      </w:pPr>
      <w:r>
        <w:rPr/>
      </w:r>
    </w:p>
    <w:p>
      <w:pPr>
        <w:pStyle w:val="21"/>
        <w:spacing w:lineRule="auto" w:line="276"/>
        <w:rPr/>
      </w:pPr>
      <w:bookmarkStart w:id="4" w:name="_Toc51021894"/>
      <w:r>
        <w:rPr/>
        <w:t>1.1 Общий размер и лидеры отрасли</w:t>
      </w:r>
      <w:bookmarkEnd w:id="4"/>
    </w:p>
    <w:p>
      <w:pPr>
        <w:pStyle w:val="21"/>
        <w:spacing w:lineRule="auto" w:line="276"/>
        <w:rPr/>
      </w:pPr>
      <w:r>
        <w:rPr/>
      </w:r>
    </w:p>
    <w:p>
      <w:pPr>
        <w:pStyle w:val="Style22"/>
        <w:spacing w:lineRule="auto" w:line="276"/>
        <w:rPr/>
      </w:pPr>
      <w:r>
        <w:rPr>
          <w:lang w:val="en-US"/>
        </w:rPr>
        <w:t>IT</w:t>
      </w:r>
      <w:r>
        <w:rPr/>
        <w:t>-отрасль составляет довольно внушительную часть общемировой экономики. Согласно выводам экспертов, глобально отрасль можно оценить примерно в 5,2 триллиона долларов США (без учёта колебаний курсов и инфляции). При этом отрасль продолжает расти и развиваться. Например, согласно оценкам 2017 года, рост составил около 4%, в 2018 году показатель составил около 5%, в 2019 – около 4%, в 2020 – около 3%. По прогнозам же 20</w:t>
      </w:r>
      <w:r>
        <w:rPr>
          <w:sz w:val="28"/>
        </w:rPr>
        <w:t>20</w:t>
      </w:r>
      <w:r>
        <w:rPr/>
        <w:t xml:space="preserve"> года, в 2021 году рост должен был составить от 1,9 до 5,4%. Поскольку оценок за 202</w:t>
      </w:r>
      <w:r>
        <w:rPr>
          <w:sz w:val="28"/>
        </w:rPr>
        <w:t>1</w:t>
      </w:r>
      <w:r>
        <w:rPr/>
        <w:t xml:space="preserve"> год ещё нет, можно только предполагать, какой удар получила отрасль из-за пандемии </w:t>
      </w:r>
      <w:r>
        <w:rPr>
          <w:lang w:val="en-US"/>
        </w:rPr>
        <w:t>COVID</w:t>
      </w:r>
      <w:r>
        <w:rPr/>
        <w:t xml:space="preserve">-19. Вместе с этим хочется отметить, что </w:t>
      </w:r>
      <w:r>
        <w:rPr>
          <w:lang w:val="en-US"/>
        </w:rPr>
        <w:t>IT</w:t>
      </w:r>
      <w:r>
        <w:rPr/>
        <w:t xml:space="preserve">-отрасль оказалась одной из самых устойчивых к пандемии: возможность удалённой работы, наряду с другими факторами, позволила компаниям продолжить работу. Несмотря на это, многие заказчики компаний понесли большие убытки и сократили объёмы заказов </w:t>
      </w:r>
      <w:r>
        <w:rPr>
          <w:lang w:val="en-US"/>
        </w:rPr>
        <w:t>IT</w:t>
      </w:r>
      <w:r>
        <w:rPr/>
        <w:t xml:space="preserve"> товаров и услуг, в то время как многие онлайн-платформы, наоборот, получали стабильную прибыль. Для составления трезвых выводов необходимо дождаться оценок экспертов и отчётов компаний за 202</w:t>
      </w:r>
      <w:r>
        <w:rPr>
          <w:sz w:val="28"/>
        </w:rPr>
        <w:t xml:space="preserve">1 </w:t>
      </w:r>
      <w:r>
        <w:rPr/>
        <w:t>год.</w:t>
      </w:r>
    </w:p>
    <w:p>
      <w:pPr>
        <w:pStyle w:val="Style22"/>
        <w:spacing w:lineRule="auto" w:line="276"/>
        <w:rPr/>
      </w:pPr>
      <w:r>
        <w:rPr/>
        <w:t>Географически лидерами отрасли являются (в порядке убывания доли рынка):</w:t>
      </w:r>
    </w:p>
    <w:p>
      <w:pPr>
        <w:pStyle w:val="Style22"/>
        <w:spacing w:lineRule="auto" w:line="276"/>
        <w:rPr/>
      </w:pPr>
      <w:r>
        <w:rPr/>
        <w:t>1) США, с долей рынка в 32%;</w:t>
      </w:r>
    </w:p>
    <w:p>
      <w:pPr>
        <w:pStyle w:val="Style22"/>
        <w:spacing w:lineRule="auto" w:line="276"/>
        <w:rPr/>
      </w:pPr>
      <w:r>
        <w:rPr/>
        <w:t>2) Европа, с долей рынка в 20%;</w:t>
      </w:r>
    </w:p>
    <w:p>
      <w:pPr>
        <w:pStyle w:val="Style22"/>
        <w:spacing w:lineRule="auto" w:line="276"/>
        <w:rPr/>
      </w:pPr>
      <w:r>
        <w:rPr/>
        <w:t>3) Индия, с долей рынка в 14%;</w:t>
      </w:r>
    </w:p>
    <w:p>
      <w:pPr>
        <w:pStyle w:val="Style22"/>
        <w:spacing w:lineRule="auto" w:line="276"/>
        <w:rPr/>
      </w:pPr>
      <w:r>
        <w:rPr/>
        <w:t>4) Океания (включая Австралию), с долей рынка в 11%.</w:t>
      </w:r>
    </w:p>
    <w:p>
      <w:pPr>
        <w:pStyle w:val="Style22"/>
        <w:spacing w:lineRule="auto" w:line="276"/>
        <w:rPr/>
      </w:pPr>
      <w:r>
        <w:rPr/>
        <w:t>5) Восточная Европа находится на предпоследнем месте с долей рынка в 3%.</w:t>
      </w:r>
    </w:p>
    <w:p>
      <w:pPr>
        <w:pStyle w:val="Style22"/>
        <w:spacing w:lineRule="auto" w:line="276"/>
        <w:rPr/>
      </w:pPr>
      <w:r>
        <w:rPr/>
        <w:t xml:space="preserve">Стоит отметить, что развитые страны (например, США) часто закупают </w:t>
      </w:r>
      <w:r>
        <w:rPr>
          <w:lang w:val="en-US"/>
        </w:rPr>
        <w:t>IT</w:t>
      </w:r>
      <w:r>
        <w:rPr/>
        <w:t xml:space="preserve">-продукты и услуги у развивающихся стран. Такое явление называется «аутсорсинг» (англ. </w:t>
      </w:r>
      <w:r>
        <w:rPr>
          <w:lang w:val="en-US"/>
        </w:rPr>
        <w:t>outsourcing</w:t>
      </w:r>
      <w:r>
        <w:rPr/>
        <w:t>). При этом львиную долю рынка развивающихся стран, как правило, занимает как раз аутсорсинг, а не создание «коробочных» продуктов.</w:t>
      </w:r>
    </w:p>
    <w:p>
      <w:pPr>
        <w:pStyle w:val="Style22"/>
        <w:spacing w:lineRule="auto" w:line="276"/>
        <w:rPr/>
      </w:pPr>
      <w:r>
        <w:rPr/>
      </w:r>
    </w:p>
    <w:p>
      <w:pPr>
        <w:pStyle w:val="21"/>
        <w:spacing w:lineRule="auto" w:line="276"/>
        <w:rPr/>
      </w:pPr>
      <w:bookmarkStart w:id="5" w:name="_Toc51021895"/>
      <w:r>
        <w:rPr/>
        <w:t>1.2 Основные вектора отрасли</w:t>
      </w:r>
      <w:bookmarkEnd w:id="5"/>
    </w:p>
    <w:p>
      <w:pPr>
        <w:pStyle w:val="21"/>
        <w:spacing w:lineRule="auto" w:line="276"/>
        <w:rPr/>
      </w:pPr>
      <w:r>
        <w:rPr/>
      </w:r>
    </w:p>
    <w:p>
      <w:pPr>
        <w:pStyle w:val="Style22"/>
        <w:spacing w:lineRule="auto" w:line="276"/>
        <w:rPr/>
      </w:pPr>
      <w:r>
        <w:rPr/>
        <w:t>Основными направлениями развития отрасли являются (в порядке убывания доли рынка):</w:t>
      </w:r>
    </w:p>
    <w:p>
      <w:pPr>
        <w:pStyle w:val="Style22"/>
        <w:spacing w:lineRule="auto" w:line="276"/>
        <w:rPr/>
      </w:pPr>
      <w:r>
        <w:rPr/>
        <w:t>1) телекоммуникации, 26%;</w:t>
      </w:r>
    </w:p>
    <w:p>
      <w:pPr>
        <w:pStyle w:val="Style22"/>
        <w:spacing w:lineRule="auto" w:line="276"/>
        <w:rPr/>
      </w:pPr>
      <w:r>
        <w:rPr/>
        <w:t>2) «железо» (самые различные устройства обработки данных), а также необходимая инфраструктура, 23%;</w:t>
      </w:r>
    </w:p>
    <w:p>
      <w:pPr>
        <w:pStyle w:val="Style22"/>
        <w:spacing w:lineRule="auto" w:line="276"/>
        <w:rPr/>
      </w:pPr>
      <w:r>
        <w:rPr/>
        <w:t xml:space="preserve">3) </w:t>
      </w:r>
      <w:r>
        <w:rPr>
          <w:lang w:val="en-US"/>
        </w:rPr>
        <w:t>IT</w:t>
      </w:r>
      <w:r>
        <w:rPr/>
        <w:t xml:space="preserve">-продукты и сфера </w:t>
      </w:r>
      <w:r>
        <w:rPr>
          <w:lang w:val="en-US"/>
        </w:rPr>
        <w:t>B</w:t>
      </w:r>
      <w:r>
        <w:rPr/>
        <w:t>2</w:t>
      </w:r>
      <w:r>
        <w:rPr>
          <w:lang w:val="en-US"/>
        </w:rPr>
        <w:t>B</w:t>
      </w:r>
      <w:r>
        <w:rPr/>
        <w:t>, 21%;</w:t>
      </w:r>
    </w:p>
    <w:p>
      <w:pPr>
        <w:pStyle w:val="Style22"/>
        <w:spacing w:lineRule="auto" w:line="276"/>
        <w:rPr/>
      </w:pPr>
      <w:r>
        <w:rPr/>
        <w:t>4) развивающиеся технологии, 17%</w:t>
      </w:r>
    </w:p>
    <w:p>
      <w:pPr>
        <w:pStyle w:val="Style22"/>
        <w:spacing w:lineRule="auto" w:line="276"/>
        <w:rPr/>
      </w:pPr>
      <w:r>
        <w:rPr/>
        <w:t>5) разработка различного рода ПО, 12%.</w:t>
      </w:r>
    </w:p>
    <w:p>
      <w:pPr>
        <w:pStyle w:val="Style22"/>
        <w:spacing w:lineRule="auto" w:line="276"/>
        <w:rPr/>
      </w:pPr>
      <w:r>
        <w:rPr/>
        <w:t>Из приведённых выше данных можно сделать следующие выводы: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>телекоммуникации всё ещё остаются важнейшей составляющей всей отрасли. Развитие технологий передачи данных, а также необходимой инфраструктуры являются неотъемлемой частью прогресса. И отрасли действительно есть куда стремиться: увеличение скоростей и качества передачи данных, расширение областей доступности высокоскоростного Интернета и т. д.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 xml:space="preserve">«Железная» отрасль, занимающаяся разработкой и программированием различных устройств, отвечает за многое, что мы видим вокруг нас. Микроконтроллеры встраиваются повсеместно: в лампочки, кофеварки, стиральные машины; в автомобили; в специализированные устройства для обработки и хранения данных. Можно ещё долго перечислять сферы применения микроконтроллеров, однако для составления общей картины достаточно вышеперечисленного. 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 xml:space="preserve">Сфера </w:t>
      </w:r>
      <w:r>
        <w:rPr>
          <w:lang w:val="en-US"/>
        </w:rPr>
        <w:t>B</w:t>
      </w:r>
      <w:r>
        <w:rPr/>
        <w:t>2</w:t>
      </w:r>
      <w:r>
        <w:rPr>
          <w:lang w:val="en-US"/>
        </w:rPr>
        <w:t>B</w:t>
      </w:r>
      <w:r>
        <w:rPr/>
        <w:t xml:space="preserve"> остаётся востребованной. Бизнесу нужны продукты, которые решают его задачи эффективно.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>Технологии, находящиеся на заре своего развития, такие как искусственный интеллект, биоинформатика и прочие, привлекают всё больше людей и инвесторов. Совершенно не вызывает удивления то, что в 2019 году ожидался рост данной под-отрасли на 104% в 2020 году.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>Разработка классического ПО уверенно держит свои позиции. Более того, в 2019 году ожидался рост этой под-отрасли на 50% в 2020 году.</w:t>
      </w:r>
    </w:p>
    <w:p>
      <w:pPr>
        <w:pStyle w:val="Normal"/>
        <w:spacing w:lineRule="auto" w:line="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pStyle w:val="11"/>
        <w:spacing w:lineRule="auto" w:line="276"/>
        <w:rPr/>
      </w:pPr>
      <w:r>
        <w:rPr/>
      </w:r>
      <w:bookmarkStart w:id="6" w:name="_Toc51021896"/>
      <w:bookmarkStart w:id="7" w:name="_Toc51021896"/>
      <w:bookmarkEnd w:id="7"/>
    </w:p>
    <w:p>
      <w:pPr>
        <w:pStyle w:val="11"/>
        <w:spacing w:lineRule="auto" w:line="276"/>
        <w:rPr/>
      </w:pPr>
      <w:r>
        <w:rPr/>
      </w:r>
    </w:p>
    <w:p>
      <w:pPr>
        <w:pStyle w:val="11"/>
        <w:spacing w:lineRule="auto" w:line="276"/>
        <w:rPr/>
      </w:pPr>
      <w:r>
        <w:rPr/>
      </w:r>
    </w:p>
    <w:p>
      <w:pPr>
        <w:pStyle w:val="21"/>
        <w:spacing w:lineRule="auto" w:line="276"/>
        <w:rPr/>
      </w:pPr>
      <w:bookmarkStart w:id="8" w:name="_Toc51021897"/>
      <w:r>
        <w:rPr/>
        <w:t>2.1 Парк высоких технологий</w:t>
      </w:r>
      <w:bookmarkEnd w:id="8"/>
    </w:p>
    <w:p>
      <w:pPr>
        <w:pStyle w:val="21"/>
        <w:spacing w:lineRule="auto" w:line="276"/>
        <w:rPr/>
      </w:pPr>
      <w:r>
        <w:rPr/>
      </w:r>
    </w:p>
    <w:p>
      <w:pPr>
        <w:pStyle w:val="Style22"/>
        <w:spacing w:lineRule="auto" w:line="276"/>
        <w:rPr/>
      </w:pPr>
      <w:r>
        <w:rPr/>
        <w:t xml:space="preserve">Важнейшим фактором развития </w:t>
      </w:r>
      <w:r>
        <w:rPr>
          <w:lang w:val="en-US"/>
        </w:rPr>
        <w:t>IT</w:t>
      </w:r>
      <w:r>
        <w:rPr/>
        <w:t xml:space="preserve">-отрасли в Беларуси стало создание своего рода инкубатора для </w:t>
      </w:r>
      <w:r>
        <w:rPr>
          <w:lang w:val="en-US"/>
        </w:rPr>
        <w:t>IT</w:t>
      </w:r>
      <w:r>
        <w:rPr/>
        <w:t xml:space="preserve">-бизнеса: Парка высоких технологий. Данный институт создавался с целью консолидации </w:t>
      </w:r>
      <w:r>
        <w:rPr>
          <w:lang w:val="en-US"/>
        </w:rPr>
        <w:t>IT</w:t>
      </w:r>
      <w:r>
        <w:rPr/>
        <w:t>-компаний и помощи их развитию путём различных льгот, например, налоговых.</w:t>
      </w:r>
    </w:p>
    <w:p>
      <w:pPr>
        <w:pStyle w:val="Style22"/>
        <w:spacing w:lineRule="auto" w:line="276"/>
        <w:rPr/>
      </w:pPr>
      <w:r>
        <w:rPr/>
        <w:t xml:space="preserve">Парк был создан в 2005 году Валерием Цепкало, и с тех пор он значительно вырос. Фактически он привёл к тому, что </w:t>
      </w:r>
      <w:r>
        <w:rPr>
          <w:lang w:val="en-US"/>
        </w:rPr>
        <w:t>IT</w:t>
      </w:r>
      <w:r>
        <w:rPr/>
        <w:t xml:space="preserve">-отрасль стала двигателем экономики Беларуси. Создаются новые рабочие места, экспорт услуг и продуктов пополняет государственный бюджет. Все крупнейшие игроки белорусского </w:t>
      </w:r>
      <w:r>
        <w:rPr>
          <w:lang w:val="en-US"/>
        </w:rPr>
        <w:t>IT</w:t>
      </w:r>
      <w:r>
        <w:rPr/>
        <w:t>-рынка, такие как «</w:t>
      </w:r>
      <w:r>
        <w:rPr>
          <w:lang w:val="en-US"/>
        </w:rPr>
        <w:t>Wargaming</w:t>
      </w:r>
      <w:r>
        <w:rPr/>
        <w:t>», «</w:t>
      </w:r>
      <w:r>
        <w:rPr>
          <w:lang w:val="en-US"/>
        </w:rPr>
        <w:t>Epam</w:t>
      </w:r>
      <w:r>
        <w:rPr/>
        <w:t xml:space="preserve"> </w:t>
      </w:r>
      <w:r>
        <w:rPr>
          <w:lang w:val="en-US"/>
        </w:rPr>
        <w:t>Systems</w:t>
      </w:r>
      <w:r>
        <w:rPr/>
        <w:t>», «</w:t>
      </w:r>
      <w:r>
        <w:rPr>
          <w:lang w:val="en-US"/>
        </w:rPr>
        <w:t>Sam</w:t>
      </w:r>
      <w:r>
        <w:rPr/>
        <w:t xml:space="preserve"> </w:t>
      </w:r>
      <w:r>
        <w:rPr>
          <w:lang w:val="en-US"/>
        </w:rPr>
        <w:t>Solutions</w:t>
      </w:r>
      <w:r>
        <w:rPr/>
        <w:t>», «</w:t>
      </w:r>
      <w:r>
        <w:rPr>
          <w:lang w:val="en-US"/>
        </w:rPr>
        <w:t>ITransition</w:t>
      </w:r>
      <w:r>
        <w:rPr/>
        <w:t>», «</w:t>
      </w:r>
      <w:r>
        <w:rPr>
          <w:lang w:val="en-US"/>
        </w:rPr>
        <w:t>IBA</w:t>
      </w:r>
      <w:r>
        <w:rPr/>
        <w:t>», являются резидентами ПВТ.</w:t>
      </w:r>
    </w:p>
    <w:p>
      <w:pPr>
        <w:pStyle w:val="Style22"/>
        <w:spacing w:lineRule="auto" w:line="276"/>
        <w:rPr/>
      </w:pPr>
      <w:r>
        <w:rPr/>
        <w:t>Приведём немного фактов. На 01.01.2016 резидентами Парка высоких технологий числились 152 компании, а на 15.07.202</w:t>
      </w:r>
      <w:r>
        <w:rPr>
          <w:sz w:val="28"/>
        </w:rPr>
        <w:t>1</w:t>
      </w:r>
      <w:r>
        <w:rPr/>
        <w:t xml:space="preserve"> – уже </w:t>
      </w:r>
      <w:r>
        <w:rPr>
          <w:sz w:val="28"/>
        </w:rPr>
        <w:t>1054</w:t>
      </w:r>
      <w:r>
        <w:rPr/>
        <w:t xml:space="preserve"> компаний. Разумеется, что не все белорусские компании являются резидентами ПВТ, однако даже по этим числам можно сделать вывод о росте </w:t>
      </w:r>
      <w:r>
        <w:rPr>
          <w:lang w:val="en-US"/>
        </w:rPr>
        <w:t>IT</w:t>
      </w:r>
      <w:r>
        <w:rPr/>
        <w:t xml:space="preserve"> отрасли в стране.</w:t>
      </w:r>
    </w:p>
    <w:p>
      <w:pPr>
        <w:pStyle w:val="Style22"/>
        <w:spacing w:lineRule="auto" w:line="276"/>
        <w:rPr/>
      </w:pPr>
      <w:r>
        <w:rPr/>
        <w:t xml:space="preserve">Отдельно хочется рассмотреть период 2017—2019 гг. 21 декабря 2017 был принят, а 28 марта 2018 года вступил в силу декрет №8 «О развитии цифровой экономики», в котором закреплялись налоговые льготы для резидентов Парка, а также иные меры, направленные на способствование развитию </w:t>
      </w:r>
      <w:r>
        <w:rPr>
          <w:lang w:val="en-US"/>
        </w:rPr>
        <w:t>IT</w:t>
      </w:r>
      <w:r>
        <w:rPr/>
        <w:t>-бизнеса в Беларуси, например, расширение перечня видов деятельности, которые дают право на вступление в ПВТ. После принятия декрета количество желающих вступить в ПВТ резко увеличилось, в марте 2018 года в Парк было принято рекордное количество компаний за один раз (сорок шесть). После этого количество резидентов ПВТ продолжило расти рекордными темпами: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>на 3 апреля 2019 года количество резидентов Парка составило 504 компании;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>на 15 июля 202</w:t>
      </w:r>
      <w:r>
        <w:rPr>
          <w:sz w:val="28"/>
        </w:rPr>
        <w:t>1</w:t>
      </w:r>
      <w:r>
        <w:rPr/>
        <w:t xml:space="preserve"> года количество резидентов составило уже </w:t>
      </w:r>
      <w:r>
        <w:rPr>
          <w:sz w:val="28"/>
        </w:rPr>
        <w:t>1054</w:t>
      </w:r>
      <w:r>
        <w:rPr/>
        <w:t xml:space="preserve"> компаний.</w:t>
      </w:r>
    </w:p>
    <w:p>
      <w:pPr>
        <w:pStyle w:val="Style22"/>
        <w:spacing w:lineRule="auto" w:line="276"/>
        <w:rPr/>
      </w:pPr>
      <w:r>
        <w:rPr/>
        <w:t>После принятия декрета №8 в Парке появилось 2 компании, занимающихся деятельностью, связанной с криптовалютами.</w:t>
      </w:r>
    </w:p>
    <w:p>
      <w:pPr>
        <w:pStyle w:val="Style22"/>
        <w:spacing w:lineRule="auto" w:line="276"/>
        <w:rPr/>
      </w:pPr>
      <w:r>
        <w:rPr/>
        <w:t>Между тем, бытует мнение, что увеличение количества компаний неизменно приведёт к снижению среднего качества предлагаемой ПВТ продукции и услуг, поскольку в ПВТ начали принимать компании, выпускающие не такой качественный продукт, как их соседи-гиганты. Данное мнение пока ничем не подкреплено, поэтому остаётся лишь ждать оценок и отзывов клиентов.</w:t>
      </w:r>
    </w:p>
    <w:p>
      <w:pPr>
        <w:pStyle w:val="21"/>
        <w:spacing w:lineRule="auto" w:line="276"/>
        <w:rPr/>
      </w:pPr>
      <w:bookmarkStart w:id="9" w:name="_Toc51021898"/>
      <w:r>
        <w:rPr/>
        <w:t>2.2 Общий анализ отрасли</w:t>
      </w:r>
      <w:bookmarkEnd w:id="9"/>
    </w:p>
    <w:p>
      <w:pPr>
        <w:pStyle w:val="21"/>
        <w:spacing w:lineRule="auto" w:line="276"/>
        <w:rPr/>
      </w:pPr>
      <w:r>
        <w:rPr/>
      </w:r>
    </w:p>
    <w:p>
      <w:pPr>
        <w:pStyle w:val="Style22"/>
        <w:spacing w:lineRule="auto" w:line="276"/>
        <w:rPr/>
      </w:pPr>
      <w:r>
        <w:rPr/>
        <w:t xml:space="preserve">После рассмотрения ПВТ можно проанализировать ситуацию в целом по стране. Чтобы показать динамику роста </w:t>
      </w:r>
      <w:r>
        <w:rPr>
          <w:lang w:val="en-US"/>
        </w:rPr>
        <w:t>IT</w:t>
      </w:r>
      <w:r>
        <w:rPr/>
        <w:t xml:space="preserve">-отрасли, приведено приблизительное количество зарегистрированных компаний, деятельность которых связана с </w:t>
      </w:r>
      <w:r>
        <w:rPr>
          <w:lang w:val="en-US"/>
        </w:rPr>
        <w:t>IT</w:t>
      </w:r>
      <w:r>
        <w:rPr/>
        <w:t>, по годам: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>в 2014 г. – 850 компаний;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>в 2015 г. – 930 компаний;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>в 2016 г. – 1093 компании;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>в 2017 г. – 1185 компаний;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>в 2018 г. – 1343 компании;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>в 2019 г. – 1522 компании;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>в 2020 г. – 1676 компаний.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>в 202</w:t>
      </w:r>
      <w:r>
        <w:rPr>
          <w:sz w:val="28"/>
        </w:rPr>
        <w:t>1</w:t>
      </w:r>
      <w:r>
        <w:rPr/>
        <w:t xml:space="preserve"> г. – </w:t>
      </w:r>
      <w:r>
        <w:rPr>
          <w:sz w:val="28"/>
        </w:rPr>
        <w:t>1789</w:t>
      </w:r>
      <w:r>
        <w:rPr/>
        <w:t xml:space="preserve"> компаний.</w:t>
      </w:r>
    </w:p>
    <w:p>
      <w:pPr>
        <w:pStyle w:val="Style22"/>
        <w:spacing w:lineRule="auto" w:line="276"/>
        <w:rPr/>
      </w:pPr>
      <w:r>
        <w:rPr/>
        <w:t xml:space="preserve">Из данных следует, что примерно половина всех компаний, деятельность которых связана с </w:t>
      </w:r>
      <w:r>
        <w:rPr>
          <w:lang w:val="en-US"/>
        </w:rPr>
        <w:t>IT</w:t>
      </w:r>
      <w:r>
        <w:rPr/>
        <w:t>-отраслью, на 2020 г. входит в Парк высоких технологий. Также видно, что количество компаний неуклонно и стабильно растёт из года в год.</w:t>
      </w:r>
    </w:p>
    <w:p>
      <w:pPr>
        <w:pStyle w:val="Style22"/>
        <w:spacing w:lineRule="auto" w:line="276"/>
        <w:rPr/>
      </w:pPr>
      <w:r>
        <w:rPr/>
        <w:t>По данным на 2018 год, за предшествующие 5 лет (с 2013 по 2018) экспорт телекоммуникационных услуг в Беларуси удвоился.</w:t>
      </w:r>
    </w:p>
    <w:p>
      <w:pPr>
        <w:pStyle w:val="Style22"/>
        <w:spacing w:lineRule="auto" w:line="276"/>
        <w:rPr/>
      </w:pPr>
      <w:r>
        <w:rPr/>
        <w:t>По данным на 2017 год, общий объём экспорта компьютерных услуг вырос в 36 раз за 12 лет.</w:t>
      </w:r>
    </w:p>
    <w:p>
      <w:pPr>
        <w:pStyle w:val="Style22"/>
        <w:spacing w:lineRule="auto" w:line="276"/>
        <w:rPr/>
      </w:pPr>
      <w:r>
        <w:rPr/>
      </w:r>
    </w:p>
    <w:p>
      <w:pPr>
        <w:pStyle w:val="21"/>
        <w:spacing w:lineRule="auto" w:line="276"/>
        <w:rPr/>
      </w:pPr>
      <w:bookmarkStart w:id="10" w:name="_Toc51021899"/>
      <w:r>
        <w:rPr/>
        <w:t>2.3. Структура рынка ИКТ и ПО в Беларуси</w:t>
      </w:r>
      <w:bookmarkEnd w:id="10"/>
    </w:p>
    <w:p>
      <w:pPr>
        <w:pStyle w:val="Style22"/>
        <w:spacing w:lineRule="auto" w:line="276"/>
        <w:ind w:hanging="0"/>
        <w:rPr/>
      </w:pPr>
      <w:r>
        <w:rPr/>
      </w:r>
    </w:p>
    <w:p>
      <w:pPr>
        <w:pStyle w:val="Style22"/>
        <w:spacing w:lineRule="auto" w:line="276"/>
        <w:rPr/>
      </w:pPr>
      <w:r>
        <w:rPr/>
        <w:t>По оценкам, белорусский рынок разделён следующим образом (в порядке убывания доли рынка):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>телекоммуникации – 41%;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>«железо», его продажа, установка и обслуживание – 34%;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>
          <w:lang w:val="en-US"/>
        </w:rPr>
        <w:t>IT</w:t>
      </w:r>
      <w:r>
        <w:rPr/>
        <w:t xml:space="preserve">-продукты и услуги (включая </w:t>
      </w:r>
      <w:r>
        <w:rPr>
          <w:lang w:val="en-US"/>
        </w:rPr>
        <w:t>B</w:t>
      </w:r>
      <w:r>
        <w:rPr/>
        <w:t>2</w:t>
      </w:r>
      <w:r>
        <w:rPr>
          <w:lang w:val="en-US"/>
        </w:rPr>
        <w:t>B</w:t>
      </w:r>
      <w:r>
        <w:rPr/>
        <w:t>) – 25%.</w:t>
      </w:r>
    </w:p>
    <w:p>
      <w:pPr>
        <w:pStyle w:val="Style22"/>
        <w:spacing w:lineRule="auto" w:line="276"/>
        <w:rPr/>
      </w:pPr>
      <w:r>
        <w:rPr/>
        <w:t>Здесь видна разница с общемировой картиной, описанной в первом разделе. Телекоммуникации в Беларуси, как и в мире, занимают крупнейшую долю рынка, однако «железная» отрасль занимает куда большую долю рынка, чем в общем по миру, а IT продукты и услуги – меньшую долю.</w:t>
      </w:r>
    </w:p>
    <w:p>
      <w:pPr>
        <w:pStyle w:val="Style22"/>
        <w:spacing w:lineRule="auto" w:line="276"/>
        <w:rPr/>
      </w:pPr>
      <w:r>
        <w:rPr/>
        <w:t xml:space="preserve">Также важным фактором деления рынка может выступать доля компаний, работающих на аутсорсинг. Как было сказано в первом разделе, часто в развивающихся странах, делающих ставку на </w:t>
      </w:r>
      <w:r>
        <w:rPr>
          <w:lang w:val="en-US"/>
        </w:rPr>
        <w:t>IT</w:t>
      </w:r>
      <w:r>
        <w:rPr/>
        <w:t xml:space="preserve">-отрасль, аутсорсинг преобладает на рынке, как правило, с большим отрывом. Беларусь здесь не стала исключением. По различным оценкам, в аутсорсинге занято от 70% до 90% всех </w:t>
      </w:r>
      <w:r>
        <w:rPr>
          <w:lang w:val="en-US"/>
        </w:rPr>
        <w:t>IT</w:t>
      </w:r>
      <w:r>
        <w:rPr/>
        <w:t xml:space="preserve">-компаний. Методы оценки разнятся: некоторые эксперты считают компанию аутсорсинговой, даже если она выполняет аутсорсинговые заказы, но при этом и создаёт свои продукты; другие эксперты считают аутсорсинговыми только те компании, которые полностью заняты разработкой продуктов на заказ. В любом случае, эксперты сходятся во мнении, что абсолютное большинство </w:t>
      </w:r>
      <w:r>
        <w:rPr>
          <w:lang w:val="en-US"/>
        </w:rPr>
        <w:t>IT</w:t>
      </w:r>
      <w:r>
        <w:rPr/>
        <w:t>-компаний в Беларуси, включая таких гигантов, как «</w:t>
      </w:r>
      <w:r>
        <w:rPr>
          <w:lang w:val="en-US"/>
        </w:rPr>
        <w:t>Epam</w:t>
      </w:r>
      <w:r>
        <w:rPr/>
        <w:t xml:space="preserve"> </w:t>
      </w:r>
      <w:r>
        <w:rPr>
          <w:lang w:val="en-US"/>
        </w:rPr>
        <w:t>Systems</w:t>
      </w:r>
      <w:r>
        <w:rPr/>
        <w:t>», заняты в аутсорсинге.</w:t>
      </w:r>
    </w:p>
    <w:p>
      <w:pPr>
        <w:pStyle w:val="Style22"/>
        <w:spacing w:lineRule="auto" w:line="276"/>
        <w:rPr/>
      </w:pPr>
      <w:r>
        <w:rPr/>
      </w:r>
    </w:p>
    <w:p>
      <w:pPr>
        <w:pStyle w:val="21"/>
        <w:spacing w:lineRule="auto" w:line="276"/>
        <w:rPr/>
      </w:pPr>
      <w:bookmarkStart w:id="11" w:name="_Toc51021900"/>
      <w:r>
        <w:rPr/>
        <w:t>2.4 Аутсорсинг как явление</w:t>
      </w:r>
      <w:bookmarkEnd w:id="11"/>
    </w:p>
    <w:p>
      <w:pPr>
        <w:pStyle w:val="21"/>
        <w:spacing w:lineRule="auto" w:line="276"/>
        <w:rPr/>
      </w:pPr>
      <w:r>
        <w:rPr/>
      </w:r>
    </w:p>
    <w:p>
      <w:pPr>
        <w:pStyle w:val="Style22"/>
        <w:spacing w:lineRule="auto" w:line="276"/>
        <w:rPr/>
      </w:pPr>
      <w:r>
        <w:rPr/>
        <w:t xml:space="preserve">Аутсорсинг, особенно в </w:t>
      </w:r>
      <w:r>
        <w:rPr>
          <w:lang w:val="en-US"/>
        </w:rPr>
        <w:t>IT</w:t>
      </w:r>
      <w:r>
        <w:rPr/>
        <w:t>-сфере, является атрибутом многих развивающихся стран (см. раздел 1). Причин для аутсорсинга может быть много, рассмотрим лишь некоторые из них: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>более дешёвая рабочая сила, чем в своей стране;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>высокие налоги на подобную деятельность в своей стране;</w:t>
      </w:r>
    </w:p>
    <w:p>
      <w:pPr>
        <w:pStyle w:val="Style22"/>
        <w:spacing w:lineRule="auto" w:line="276"/>
        <w:rPr/>
      </w:pPr>
      <w:r>
        <w:rPr/>
        <w:t xml:space="preserve">– </w:t>
      </w:r>
      <w:r>
        <w:rPr/>
        <w:t>экономия на менеджменте и бизнес-процессах (частая причина аутсорсинга в США).</w:t>
      </w:r>
    </w:p>
    <w:p>
      <w:pPr>
        <w:pStyle w:val="Style22"/>
        <w:spacing w:lineRule="auto" w:line="276"/>
        <w:rPr/>
      </w:pPr>
      <w:r>
        <w:rPr/>
        <w:t xml:space="preserve">По нашему мнению, ПО отдают на аутсорсинг в Беларусь не по причине дешёвой рабочей силы. Возможно, рабочая сила в Беларуси действительно дешевле, чем, например, в США, но тем не менее иностранных заказчиков устраивает качество производимого продукта, и в то же время белорусских работников в сфере </w:t>
      </w:r>
      <w:r>
        <w:rPr>
          <w:lang w:val="en-US"/>
        </w:rPr>
        <w:t>IT</w:t>
      </w:r>
      <w:r>
        <w:rPr/>
        <w:t xml:space="preserve"> чаще всего устраивает их зарплата. Вероятнее всего, для иностранного заказчика аутсорсинг в Беларусь – это своего рода оптимальный вариант: экономия на бизнес-процессах, при этом получение достаточно качественного продукта.</w:t>
      </w:r>
    </w:p>
    <w:p>
      <w:pPr>
        <w:pStyle w:val="Style22"/>
        <w:spacing w:lineRule="auto" w:line="276"/>
        <w:rPr/>
      </w:pPr>
      <w:r>
        <w:rPr/>
      </w:r>
    </w:p>
    <w:p>
      <w:pPr>
        <w:pStyle w:val="21"/>
        <w:spacing w:lineRule="auto" w:line="276"/>
        <w:ind w:left="709" w:hanging="0"/>
        <w:rPr/>
      </w:pPr>
      <w:r>
        <w:rPr/>
      </w:r>
      <w:r>
        <w:br w:type="page"/>
      </w:r>
    </w:p>
    <w:p>
      <w:pPr>
        <w:pStyle w:val="11"/>
        <w:spacing w:lineRule="auto" w:line="276"/>
        <w:ind w:left="0" w:hanging="0"/>
        <w:jc w:val="center"/>
        <w:rPr/>
      </w:pPr>
      <w:bookmarkStart w:id="12" w:name="_Toc51021902"/>
      <w:r>
        <w:rPr/>
        <w:t>Заключение</w:t>
      </w:r>
      <w:bookmarkEnd w:id="12"/>
    </w:p>
    <w:p>
      <w:pPr>
        <w:pStyle w:val="11"/>
        <w:spacing w:lineRule="auto" w:line="276"/>
        <w:ind w:left="0" w:hanging="0"/>
        <w:jc w:val="center"/>
        <w:rPr/>
      </w:pPr>
      <w:r>
        <w:rPr/>
      </w:r>
    </w:p>
    <w:p>
      <w:pPr>
        <w:pStyle w:val="Style22"/>
        <w:spacing w:lineRule="auto" w:line="276"/>
        <w:rPr/>
      </w:pPr>
      <w:r>
        <w:rPr/>
        <w:t xml:space="preserve">Исходя из приведённых выше данных, можно сделать вывод, что аутсорсинг является важнейшей частью белорусского </w:t>
      </w:r>
      <w:r>
        <w:rPr>
          <w:lang w:val="en-US"/>
        </w:rPr>
        <w:t>IT</w:t>
      </w:r>
      <w:r>
        <w:rPr/>
        <w:t xml:space="preserve"> рынка. Это нельзя связать с низким уровнем развития страны или с низкой квалифицированностью занятых в сфере кадров. Скорее, это является следствием ограниченного внутреннего рынка, слишком высокой конкуренции на мировом рынке для выпуска собственного продукта, слишком поздним стартом развития отрасли (США считается пионером в вычислительной технике и компьютерных науках, в то время как в Беларуси отрасль начала зарождаться в начале двухтысячных). В Беларуси также ведутся научные исследования, пусть и не в таких крупных масштабах.</w:t>
      </w:r>
    </w:p>
    <w:p>
      <w:pPr>
        <w:pStyle w:val="Style22"/>
        <w:spacing w:lineRule="auto" w:line="276"/>
        <w:rPr/>
      </w:pPr>
      <w:r>
        <w:rPr/>
        <w:t>Тем не менее, Белорусским компаниям стоит искать пути выхода на международные рынки и постепенно переходить от аутсорсинга к продуктовой модели. Это обеспечит независимость от иностранных заказов, а также увеличит доходность в долгосрочной перспективе, например, от патентов.</w:t>
      </w:r>
    </w:p>
    <w:p>
      <w:pPr>
        <w:pStyle w:val="Normal"/>
        <w:spacing w:lineRule="auto" w:line="276"/>
        <w:rPr/>
      </w:pPr>
      <w:r>
        <w:rPr/>
      </w:r>
      <w:r>
        <w:br w:type="page"/>
      </w:r>
    </w:p>
    <w:p>
      <w:pPr>
        <w:pStyle w:val="Normal"/>
        <w:spacing w:lineRule="auto" w:line="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11"/>
        <w:spacing w:lineRule="auto" w:line="276"/>
        <w:jc w:val="center"/>
        <w:rPr/>
      </w:pPr>
      <w:bookmarkStart w:id="13" w:name="_Toc51021903"/>
      <w:r>
        <w:rPr/>
        <w:t>Список использованных источников</w:t>
      </w:r>
      <w:bookmarkEnd w:id="13"/>
    </w:p>
    <w:p>
      <w:pPr>
        <w:pStyle w:val="11"/>
        <w:spacing w:lineRule="auto" w:line="276"/>
        <w:jc w:val="center"/>
        <w:rPr/>
      </w:pPr>
      <w:r>
        <w:rPr/>
      </w:r>
    </w:p>
    <w:p>
      <w:pPr>
        <w:pStyle w:val="Style22"/>
        <w:spacing w:lineRule="auto" w:line="276"/>
        <w:rPr>
          <w:lang w:val="en-US"/>
        </w:rPr>
      </w:pPr>
      <w:r>
        <w:rPr/>
        <w:t>[1] «</w:t>
      </w:r>
      <w:r>
        <w:rPr>
          <w:lang w:val="en-US"/>
        </w:rPr>
        <w:t>IT</w:t>
      </w:r>
      <w:r>
        <w:rPr/>
        <w:t>-рынок в Беларуси» [Электронный ресурс]. – Электронные данные. Режим</w:t>
      </w:r>
      <w:r>
        <w:rPr>
          <w:lang w:val="en-US"/>
        </w:rPr>
        <w:t xml:space="preserve"> </w:t>
      </w:r>
      <w:r>
        <w:rPr/>
        <w:t>доступа</w:t>
      </w:r>
      <w:r>
        <w:rPr>
          <w:lang w:val="en-US"/>
        </w:rPr>
        <w:t xml:space="preserve">: </w:t>
      </w:r>
      <w:hyperlink r:id="rId2">
        <w:r>
          <w:rPr>
            <w:lang w:val="en-US"/>
          </w:rPr>
          <w:t>https://uniter.by/insights/</w:t>
        </w:r>
      </w:hyperlink>
      <w:r>
        <w:rPr>
          <w:lang w:val="en-US"/>
        </w:rPr>
        <w:t xml:space="preserve">. </w:t>
      </w:r>
      <w:r>
        <w:rPr/>
        <w:t>Дата</w:t>
      </w:r>
      <w:r>
        <w:rPr>
          <w:lang w:val="en-US"/>
        </w:rPr>
        <w:t xml:space="preserve"> </w:t>
      </w:r>
      <w:r>
        <w:rPr/>
        <w:t>доступа</w:t>
      </w:r>
      <w:r>
        <w:rPr>
          <w:lang w:val="en-US"/>
        </w:rPr>
        <w:t>: 12.09.202</w:t>
      </w:r>
      <w:r>
        <w:rPr>
          <w:sz w:val="28"/>
          <w:lang w:val="en-US"/>
        </w:rPr>
        <w:t>1</w:t>
      </w:r>
    </w:p>
    <w:p>
      <w:pPr>
        <w:pStyle w:val="Style22"/>
        <w:spacing w:lineRule="auto" w:line="276"/>
        <w:rPr/>
      </w:pPr>
      <w:r>
        <w:rPr>
          <w:lang w:val="en-US"/>
        </w:rPr>
        <w:t>[2] «IT Sector Promotion in Developing and Emerging Countries»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]. – </w:t>
      </w:r>
      <w:r>
        <w:rPr/>
        <w:t>Электронные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. </w:t>
      </w:r>
      <w:r>
        <w:rPr/>
        <w:t xml:space="preserve">Режим доступа: </w:t>
      </w:r>
      <w:hyperlink r:id="rId3">
        <w:r>
          <w:rPr/>
          <w:t>http://groups.itu.int/LinkClick.aspx?fileticket=HLju6vFJJ5o%3D&amp;tabid=1862</w:t>
        </w:r>
      </w:hyperlink>
      <w:r>
        <w:rPr/>
        <w:t>. Дата доступа: 12.09.202</w:t>
      </w:r>
      <w:r>
        <w:rPr>
          <w:sz w:val="28"/>
        </w:rPr>
        <w:t>1</w:t>
      </w:r>
      <w:r>
        <w:rPr/>
        <w:t>.</w:t>
      </w:r>
    </w:p>
    <w:p>
      <w:pPr>
        <w:pStyle w:val="Style22"/>
        <w:spacing w:lineRule="auto" w:line="276"/>
        <w:rPr/>
      </w:pPr>
      <w:r>
        <w:rPr/>
        <w:t>[3] «</w:t>
      </w:r>
      <w:r>
        <w:rPr>
          <w:lang w:val="en-US"/>
        </w:rPr>
        <w:t>Industrial</w:t>
      </w:r>
      <w:r>
        <w:rPr/>
        <w:t xml:space="preserve"> </w:t>
      </w:r>
      <w:r>
        <w:rPr>
          <w:lang w:val="en-US"/>
        </w:rPr>
        <w:t>Development</w:t>
      </w:r>
      <w:r>
        <w:rPr/>
        <w:t xml:space="preserve"> </w:t>
      </w:r>
      <w:r>
        <w:rPr>
          <w:lang w:val="en-US"/>
        </w:rPr>
        <w:t>Report</w:t>
      </w:r>
      <w:r>
        <w:rPr/>
        <w:t xml:space="preserve">» [Электронный ресурс]. – Электронные данные. Режим доступа: </w:t>
      </w:r>
      <w:hyperlink r:id="rId4">
        <w:r>
          <w:rPr/>
          <w:t>https://www.unido.org/sites/default/files/files/2019-11/UNIDO_IDR2020-English_overview.pdf</w:t>
        </w:r>
      </w:hyperlink>
      <w:r>
        <w:rPr/>
        <w:t>. Дата доступа: 13.09.202</w:t>
      </w:r>
      <w:r>
        <w:rPr>
          <w:sz w:val="28"/>
        </w:rPr>
        <w:t>1</w:t>
      </w:r>
      <w:r>
        <w:rPr/>
        <w:t>.</w:t>
      </w:r>
    </w:p>
    <w:p>
      <w:pPr>
        <w:pStyle w:val="Style22"/>
        <w:spacing w:lineRule="auto" w:line="276"/>
        <w:rPr/>
      </w:pPr>
      <w:r>
        <w:rPr/>
        <w:t xml:space="preserve">[4] «Действующие резиденты Парка высоких технологий на 3 апреля 2019 г.» [Электронный ресурс]. – Электронные данные. Режим доступа: </w:t>
      </w:r>
      <w:hyperlink r:id="rId5">
        <w:r>
          <w:rPr/>
          <w:t>http://www.park.by/content/docs/Registr2.pdf</w:t>
        </w:r>
      </w:hyperlink>
      <w:r>
        <w:rPr/>
        <w:t>. Дата доступа: 13.09.202</w:t>
      </w:r>
      <w:r>
        <w:rPr>
          <w:sz w:val="28"/>
        </w:rPr>
        <w:t>1</w:t>
      </w:r>
      <w:r>
        <w:rPr/>
        <w:t>.</w:t>
      </w:r>
    </w:p>
    <w:p>
      <w:pPr>
        <w:pStyle w:val="Style22"/>
        <w:spacing w:lineRule="auto" w:line="276"/>
        <w:rPr/>
      </w:pPr>
      <w:r>
        <w:rPr/>
        <w:t>[5] «Действующие резиденты Парка высоких технологий на 15 июля 202</w:t>
      </w:r>
      <w:r>
        <w:rPr>
          <w:sz w:val="28"/>
        </w:rPr>
        <w:t>1</w:t>
      </w:r>
      <w:r>
        <w:rPr/>
        <w:t xml:space="preserve"> г.» [Электронный ресурс]. – Электронные данные. Режим доступа: </w:t>
      </w:r>
      <w:hyperlink r:id="rId6">
        <w:r>
          <w:rPr/>
          <w:t>http://www.park.by/content/docs/Registr7.pdf</w:t>
        </w:r>
      </w:hyperlink>
      <w:r>
        <w:rPr/>
        <w:t>. Дата доступа: 14.09.202</w:t>
      </w:r>
      <w:r>
        <w:rPr>
          <w:sz w:val="28"/>
        </w:rPr>
        <w:t>1</w:t>
      </w:r>
    </w:p>
    <w:p>
      <w:pPr>
        <w:pStyle w:val="Style22"/>
        <w:spacing w:lineRule="auto" w:line="276"/>
        <w:rPr/>
      </w:pPr>
      <w:r>
        <w:rPr/>
        <w:t xml:space="preserve">[6] «Декрет №8 от 21 декабря 2017 года» [Электронный ресурс]. – Электронные данные. Режим доступа: </w:t>
      </w:r>
      <w:hyperlink r:id="rId7">
        <w:r>
          <w:rPr/>
          <w:t>http://president.gov.by/ru/official_documents_ru/view/dekret-8-ot-21-dekabrja-2017-g-17716/</w:t>
        </w:r>
      </w:hyperlink>
      <w:r>
        <w:rPr/>
        <w:t>. Дата доступа: 13.09.202</w:t>
      </w:r>
      <w:r>
        <w:rPr>
          <w:sz w:val="28"/>
        </w:rPr>
        <w:t>1</w:t>
      </w:r>
      <w:r>
        <w:rPr/>
        <w:t>.</w:t>
      </w:r>
    </w:p>
    <w:p>
      <w:pPr>
        <w:pStyle w:val="Style22"/>
        <w:spacing w:lineRule="auto" w:line="276"/>
        <w:rPr/>
      </w:pPr>
      <w:r>
        <w:rPr/>
        <w:t xml:space="preserve">[7] «Экономическая газета» [Электронный ресурс]. – Электронные данные. Режим доступа: </w:t>
      </w:r>
      <w:hyperlink r:id="rId8">
        <w:r>
          <w:rPr>
            <w:lang w:val="en-US"/>
          </w:rPr>
          <w:t>https</w:t>
        </w:r>
        <w:r>
          <w:rPr/>
          <w:t>://</w:t>
        </w:r>
        <w:r>
          <w:rPr>
            <w:lang w:val="en-US"/>
          </w:rPr>
          <w:t>neg</w:t>
        </w:r>
        <w:r>
          <w:rPr/>
          <w:t>.</w:t>
        </w:r>
        <w:r>
          <w:rPr>
            <w:lang w:val="en-US"/>
          </w:rPr>
          <w:t>by</w:t>
        </w:r>
        <w:r>
          <w:rPr/>
          <w:t>/</w:t>
        </w:r>
      </w:hyperlink>
      <w:r>
        <w:rPr/>
        <w:t>. Дата доступа: 13.09.202</w:t>
      </w:r>
      <w:r>
        <w:rPr>
          <w:sz w:val="28"/>
        </w:rPr>
        <w:t>1</w:t>
      </w:r>
      <w:r>
        <w:rPr/>
        <w:t>.</w:t>
      </w:r>
      <w:bookmarkStart w:id="14" w:name="_GoBack"/>
      <w:bookmarkEnd w:id="14"/>
      <w:r>
        <w:rPr/>
        <w:t xml:space="preserve"> </w:t>
      </w:r>
    </w:p>
    <w:p>
      <w:pPr>
        <w:pStyle w:val="Style22"/>
        <w:spacing w:lineRule="auto" w:line="276"/>
        <w:rPr/>
      </w:pPr>
      <w:r>
        <w:rPr/>
        <w:t xml:space="preserve">[8] «ИТ в Беларуси» [Электронный ресурс]. – Электронные данные. Режим доступа: </w:t>
      </w:r>
      <w:hyperlink r:id="rId9">
        <w:r>
          <w:rPr>
            <w:lang w:val="en-US"/>
          </w:rPr>
          <w:t>https</w:t>
        </w:r>
        <w:r>
          <w:rPr/>
          <w:t>://</w:t>
        </w:r>
        <w:r>
          <w:rPr>
            <w:lang w:val="en-US"/>
          </w:rPr>
          <w:t>dev</w:t>
        </w:r>
        <w:r>
          <w:rPr/>
          <w:t>.</w:t>
        </w:r>
        <w:r>
          <w:rPr>
            <w:lang w:val="en-US"/>
          </w:rPr>
          <w:t>by</w:t>
        </w:r>
        <w:r>
          <w:rPr/>
          <w:t>/</w:t>
        </w:r>
      </w:hyperlink>
      <w:r>
        <w:rPr/>
        <w:t>. Дата доступа: 13.09.202</w:t>
      </w:r>
      <w:r>
        <w:rPr>
          <w:sz w:val="28"/>
        </w:rPr>
        <w:t>1</w:t>
      </w:r>
      <w:r>
        <w:rPr/>
        <w:t>.</w:t>
      </w:r>
    </w:p>
    <w:p>
      <w:pPr>
        <w:pStyle w:val="Style22"/>
        <w:spacing w:lineRule="auto" w:line="276"/>
        <w:rPr/>
      </w:pPr>
      <w:r>
        <w:rPr/>
        <w:t>[9] «</w:t>
      </w:r>
      <w:r>
        <w:rPr>
          <w:lang w:val="en-US"/>
        </w:rPr>
        <w:t>IT</w:t>
      </w:r>
      <w:r>
        <w:rPr/>
        <w:t xml:space="preserve"> </w:t>
      </w:r>
      <w:r>
        <w:rPr>
          <w:lang w:val="en-US"/>
        </w:rPr>
        <w:t>Industry</w:t>
      </w:r>
      <w:r>
        <w:rPr/>
        <w:t xml:space="preserve"> </w:t>
      </w:r>
      <w:r>
        <w:rPr>
          <w:lang w:val="en-US"/>
        </w:rPr>
        <w:t>Outlook</w:t>
      </w:r>
      <w:r>
        <w:rPr/>
        <w:t xml:space="preserve">» [Электронный ресурс]. – Электронные данные. Режим доступа: </w:t>
      </w:r>
      <w:hyperlink r:id="rId10">
        <w:r>
          <w:rPr>
            <w:lang w:val="en-US"/>
          </w:rPr>
          <w:t>https</w:t>
        </w:r>
        <w:r>
          <w:rPr/>
          <w:t>://</w:t>
        </w:r>
        <w:r>
          <w:rPr>
            <w:lang w:val="en-US"/>
          </w:rPr>
          <w:t>www</w:t>
        </w:r>
        <w:r>
          <w:rPr/>
          <w:t>.</w:t>
        </w:r>
        <w:r>
          <w:rPr>
            <w:lang w:val="en-US"/>
          </w:rPr>
          <w:t>comptia</w:t>
        </w:r>
        <w:r>
          <w:rPr/>
          <w:t>.</w:t>
        </w:r>
        <w:r>
          <w:rPr>
            <w:lang w:val="en-US"/>
          </w:rPr>
          <w:t>org</w:t>
        </w:r>
        <w:r>
          <w:rPr/>
          <w:t>/</w:t>
        </w:r>
        <w:r>
          <w:rPr>
            <w:lang w:val="en-US"/>
          </w:rPr>
          <w:t>content</w:t>
        </w:r>
        <w:r>
          <w:rPr/>
          <w:t>/</w:t>
        </w:r>
        <w:r>
          <w:rPr>
            <w:lang w:val="en-US"/>
          </w:rPr>
          <w:t>research</w:t>
        </w:r>
        <w:r>
          <w:rPr/>
          <w:t>/</w:t>
        </w:r>
        <w:r>
          <w:rPr>
            <w:lang w:val="en-US"/>
          </w:rPr>
          <w:t>it</w:t>
        </w:r>
        <w:r>
          <w:rPr/>
          <w:t>-</w:t>
        </w:r>
        <w:r>
          <w:rPr>
            <w:lang w:val="en-US"/>
          </w:rPr>
          <w:t>industry</w:t>
        </w:r>
        <w:r>
          <w:rPr/>
          <w:t>-</w:t>
        </w:r>
        <w:r>
          <w:rPr>
            <w:lang w:val="en-US"/>
          </w:rPr>
          <w:t>trends</w:t>
        </w:r>
        <w:r>
          <w:rPr/>
          <w:t>-</w:t>
        </w:r>
        <w:r>
          <w:rPr>
            <w:lang w:val="en-US"/>
          </w:rPr>
          <w:t>analysis</w:t>
        </w:r>
      </w:hyperlink>
      <w:r>
        <w:rPr/>
        <w:t>. Дата доступа: 14.09.202</w:t>
      </w:r>
      <w:r>
        <w:rPr>
          <w:sz w:val="28"/>
        </w:rPr>
        <w:t>1</w:t>
      </w:r>
      <w:r>
        <w:rPr/>
        <w:t>.</w:t>
      </w:r>
    </w:p>
    <w:p>
      <w:pPr>
        <w:pStyle w:val="Style22"/>
        <w:spacing w:lineRule="auto" w:line="276"/>
        <w:rPr>
          <w:lang w:val="en-US"/>
        </w:rPr>
      </w:pPr>
      <w:r>
        <w:rPr/>
        <w:t xml:space="preserve">[10] «Внешняя торговля Республики Беларусь» [Электронный ресурс]. – Электронные данные. Режим доступа: </w:t>
      </w:r>
      <w:hyperlink r:id="rId11">
        <w:r>
          <w:rPr>
            <w:lang w:val="en-US"/>
          </w:rPr>
          <w:t>https</w:t>
        </w:r>
        <w:r>
          <w:rPr/>
          <w:t>://</w:t>
        </w:r>
        <w:r>
          <w:rPr>
            <w:lang w:val="en-US"/>
          </w:rPr>
          <w:t>www</w:t>
        </w:r>
        <w:r>
          <w:rPr/>
          <w:t>.</w:t>
        </w:r>
        <w:r>
          <w:rPr>
            <w:lang w:val="en-US"/>
          </w:rPr>
          <w:t>belstat</w:t>
        </w:r>
        <w:r>
          <w:rPr/>
          <w:t>.</w:t>
        </w:r>
        <w:r>
          <w:rPr>
            <w:lang w:val="en-US"/>
          </w:rPr>
          <w:t>gov</w:t>
        </w:r>
        <w:r>
          <w:rPr/>
          <w:t>.</w:t>
        </w:r>
        <w:r>
          <w:rPr>
            <w:lang w:val="en-US"/>
          </w:rPr>
          <w:t>by</w:t>
        </w:r>
        <w:r>
          <w:rPr/>
          <w:t>/</w:t>
        </w:r>
        <w:r>
          <w:rPr>
            <w:lang w:val="en-US"/>
          </w:rPr>
          <w:t>upload</w:t>
        </w:r>
        <w:r>
          <w:rPr/>
          <w:t>/</w:t>
        </w:r>
        <w:r>
          <w:rPr>
            <w:lang w:val="en-US"/>
          </w:rPr>
          <w:t>iblock</w:t>
        </w:r>
        <w:r>
          <w:rPr/>
          <w:t>/</w:t>
        </w:r>
        <w:r>
          <w:rPr>
            <w:lang w:val="en-US"/>
          </w:rPr>
          <w:t>b</w:t>
        </w:r>
        <w:r>
          <w:rPr/>
          <w:t>5</w:t>
        </w:r>
        <w:r>
          <w:rPr>
            <w:lang w:val="en-US"/>
          </w:rPr>
          <w:t>e</w:t>
        </w:r>
        <w:r>
          <w:rPr/>
          <w:t>/</w:t>
        </w:r>
        <w:r>
          <w:rPr>
            <w:lang w:val="en-US"/>
          </w:rPr>
          <w:t>b</w:t>
        </w:r>
        <w:r>
          <w:rPr/>
          <w:t>5</w:t>
        </w:r>
        <w:r>
          <w:rPr>
            <w:lang w:val="en-US"/>
          </w:rPr>
          <w:t>eeb</w:t>
        </w:r>
        <w:r>
          <w:rPr/>
          <w:t>063</w:t>
        </w:r>
        <w:r>
          <w:rPr>
            <w:lang w:val="en-US"/>
          </w:rPr>
          <w:t>dcad</w:t>
        </w:r>
        <w:r>
          <w:rPr/>
          <w:t>3</w:t>
        </w:r>
        <w:r>
          <w:rPr>
            <w:lang w:val="en-US"/>
          </w:rPr>
          <w:t>c</w:t>
        </w:r>
        <w:r>
          <w:rPr/>
          <w:t>19</w:t>
        </w:r>
        <w:r>
          <w:rPr>
            <w:lang w:val="en-US"/>
          </w:rPr>
          <w:t>ec</w:t>
        </w:r>
        <w:r>
          <w:rPr/>
          <w:t>3</w:t>
        </w:r>
        <w:r>
          <w:rPr>
            <w:lang w:val="en-US"/>
          </w:rPr>
          <w:t>f</w:t>
        </w:r>
        <w:r>
          <w:rPr/>
          <w:t>27</w:t>
        </w:r>
        <w:r>
          <w:rPr>
            <w:lang w:val="en-US"/>
          </w:rPr>
          <w:t>d</w:t>
        </w:r>
        <w:r>
          <w:rPr/>
          <w:t>642270471.</w:t>
        </w:r>
        <w:r>
          <w:rPr>
            <w:lang w:val="en-US"/>
          </w:rPr>
          <w:t>pdf</w:t>
        </w:r>
      </w:hyperlink>
      <w:r>
        <w:rPr/>
        <w:t>. Дата доступа: 14.09.202</w:t>
      </w:r>
      <w:r>
        <w:rPr>
          <w:sz w:val="28"/>
        </w:rPr>
        <w:t>1</w:t>
      </w:r>
      <w:r>
        <w:rPr/>
        <w:t>.</w:t>
      </w:r>
    </w:p>
    <w:sectPr>
      <w:footerReference w:type="default" r:id="rId12"/>
      <w:type w:val="nextPage"/>
      <w:pgSz w:w="11906" w:h="16838"/>
      <w:pgMar w:left="1701" w:right="851" w:header="0" w:top="1134" w:footer="964" w:bottom="1531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96494381"/>
    </w:sdtPr>
    <w:sdtContent>
      <w:p>
        <w:pPr>
          <w:pStyle w:val="Footer"/>
          <w:jc w:val="right"/>
          <w:rPr>
            <w:rStyle w:val="Style14"/>
          </w:rPr>
        </w:pPr>
        <w:r>
          <w:rPr>
            <w:rStyle w:val="Style14"/>
          </w:rPr>
          <w:fldChar w:fldCharType="begin"/>
        </w:r>
        <w:r>
          <w:rPr>
            <w:rStyle w:val="Style14"/>
          </w:rPr>
          <w:instrText> PAGE </w:instrText>
        </w:r>
        <w:r>
          <w:rPr>
            <w:rStyle w:val="Style14"/>
          </w:rPr>
          <w:fldChar w:fldCharType="separate"/>
        </w:r>
        <w:r>
          <w:rPr>
            <w:rStyle w:val="Style14"/>
          </w:rPr>
          <w:t>10</w:t>
        </w:r>
        <w:r>
          <w:rPr>
            <w:rStyle w:val="Style14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37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ГОСТ обычный Знак"/>
    <w:basedOn w:val="DefaultParagraphFont"/>
    <w:link w:val="a3"/>
    <w:qFormat/>
    <w:rsid w:val="00626117"/>
    <w:rPr>
      <w:rFonts w:ascii="Times New Roman" w:hAnsi="Times New Roman"/>
      <w:sz w:val="28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c7004b"/>
    <w:rPr/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c7004b"/>
    <w:rPr/>
  </w:style>
  <w:style w:type="character" w:styleId="1" w:customStyle="1">
    <w:name w:val="ГОСТ Заголовок 1 Знак"/>
    <w:basedOn w:val="Style14"/>
    <w:link w:val="1"/>
    <w:qFormat/>
    <w:rsid w:val="00100165"/>
    <w:rPr>
      <w:rFonts w:ascii="Times New Roman" w:hAnsi="Times New Roman"/>
      <w:b/>
      <w:caps/>
      <w:sz w:val="28"/>
    </w:rPr>
  </w:style>
  <w:style w:type="character" w:styleId="2" w:customStyle="1">
    <w:name w:val="ГОСТ Заголовок 2 Знак"/>
    <w:basedOn w:val="1"/>
    <w:link w:val="2"/>
    <w:qFormat/>
    <w:rsid w:val="009c296f"/>
    <w:rPr>
      <w:rFonts w:ascii="Times New Roman" w:hAnsi="Times New Roman"/>
      <w:b/>
      <w:caps w:val="false"/>
      <w:smallCaps w:val="false"/>
      <w:sz w:val="28"/>
    </w:rPr>
  </w:style>
  <w:style w:type="character" w:styleId="Style17">
    <w:name w:val="Интернет-ссылка"/>
    <w:basedOn w:val="DefaultParagraphFont"/>
    <w:uiPriority w:val="99"/>
    <w:unhideWhenUsed/>
    <w:qFormat/>
    <w:rsid w:val="006c1af1"/>
    <w:rPr>
      <w:color w:val="0563C1" w:themeColor="hyperlink"/>
      <w:u w:val="single"/>
    </w:rPr>
  </w:style>
  <w:style w:type="character" w:styleId="Style18" w:customStyle="1">
    <w:name w:val="Код Знак"/>
    <w:basedOn w:val="DefaultParagraphFont"/>
    <w:link w:val="ab"/>
    <w:qFormat/>
    <w:rsid w:val="00b5361c"/>
    <w:rPr>
      <w:rFonts w:ascii="Consolas" w:hAnsi="Consolas"/>
      <w:sz w:val="18"/>
      <w:lang w:val="en-US"/>
    </w:rPr>
  </w:style>
  <w:style w:type="character" w:styleId="Style19">
    <w:name w:val="Ссылка указателя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20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 w:customStyle="1">
    <w:name w:val="ГОСТ обычный"/>
    <w:link w:val="a4"/>
    <w:qFormat/>
    <w:rsid w:val="00626117"/>
    <w:pPr>
      <w:widowControl/>
      <w:suppressAutoHyphens w:val="true"/>
      <w:bidi w:val="0"/>
      <w:spacing w:lineRule="auto" w:line="240" w:before="0" w:after="0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c7004b"/>
    <w:pPr>
      <w:tabs>
        <w:tab w:val="clear" w:pos="737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c7004b"/>
    <w:pPr>
      <w:tabs>
        <w:tab w:val="clear" w:pos="737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1" w:customStyle="1">
    <w:name w:val="ГОСТ Заголовок 1"/>
    <w:basedOn w:val="Style22"/>
    <w:link w:val="10"/>
    <w:qFormat/>
    <w:rsid w:val="00100165"/>
    <w:pPr>
      <w:tabs>
        <w:tab w:val="clear" w:pos="737"/>
        <w:tab w:val="left" w:pos="992" w:leader="none"/>
      </w:tabs>
      <w:suppressAutoHyphens w:val="true"/>
      <w:ind w:left="709" w:hanging="0"/>
    </w:pPr>
    <w:rPr>
      <w:b/>
      <w:caps/>
    </w:rPr>
  </w:style>
  <w:style w:type="paragraph" w:styleId="21" w:customStyle="1">
    <w:name w:val="ГОСТ Заголовок 2"/>
    <w:basedOn w:val="11"/>
    <w:link w:val="20"/>
    <w:qFormat/>
    <w:rsid w:val="009c296f"/>
    <w:pPr>
      <w:keepNext w:val="true"/>
      <w:tabs>
        <w:tab w:val="clear" w:pos="992"/>
        <w:tab w:val="left" w:pos="1276" w:leader="none"/>
      </w:tabs>
    </w:pPr>
    <w:rPr>
      <w:caps w:val="false"/>
      <w:smallCaps w:val="false"/>
    </w:rPr>
  </w:style>
  <w:style w:type="paragraph" w:styleId="Contents2">
    <w:name w:val="TOC 2"/>
    <w:basedOn w:val="Style22"/>
    <w:next w:val="Normal"/>
    <w:autoRedefine/>
    <w:uiPriority w:val="39"/>
    <w:unhideWhenUsed/>
    <w:rsid w:val="002d6299"/>
    <w:pPr>
      <w:tabs>
        <w:tab w:val="clear" w:pos="737"/>
        <w:tab w:val="left" w:pos="765" w:leader="none"/>
        <w:tab w:val="left" w:pos="794" w:leader="none"/>
        <w:tab w:val="right" w:pos="9344" w:leader="dot"/>
      </w:tabs>
      <w:ind w:left="221" w:hanging="0"/>
    </w:pPr>
    <w:rPr/>
  </w:style>
  <w:style w:type="paragraph" w:styleId="Contents1">
    <w:name w:val="TOC 1"/>
    <w:basedOn w:val="Style22"/>
    <w:next w:val="Normal"/>
    <w:autoRedefine/>
    <w:uiPriority w:val="39"/>
    <w:unhideWhenUsed/>
    <w:rsid w:val="002d6299"/>
    <w:pPr>
      <w:tabs>
        <w:tab w:val="clear" w:pos="737"/>
        <w:tab w:val="left" w:pos="397" w:leader="none"/>
        <w:tab w:val="right" w:pos="9344" w:leader="dot"/>
      </w:tabs>
      <w:ind w:hanging="0"/>
    </w:pPr>
    <w:rPr/>
  </w:style>
  <w:style w:type="paragraph" w:styleId="Style24" w:customStyle="1">
    <w:name w:val="Код"/>
    <w:link w:val="ac"/>
    <w:autoRedefine/>
    <w:qFormat/>
    <w:rsid w:val="00b5361c"/>
    <w:pPr>
      <w:widowControl w:val="false"/>
      <w:suppressAutoHyphens w:val="true"/>
      <w:bidi w:val="0"/>
      <w:spacing w:lineRule="auto" w:line="240" w:before="0" w:after="0"/>
      <w:jc w:val="left"/>
    </w:pPr>
    <w:rPr>
      <w:rFonts w:ascii="Consolas" w:hAnsi="Consolas" w:eastAsia="Calibri" w:cs="" w:cstheme="minorBidi" w:eastAsiaTheme="minorHAnsi"/>
      <w:color w:val="auto"/>
      <w:kern w:val="0"/>
      <w:sz w:val="18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be40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niter.by/insights/" TargetMode="External"/><Relationship Id="rId3" Type="http://schemas.openxmlformats.org/officeDocument/2006/relationships/hyperlink" Target="http://groups.itu.int/LinkClick.aspx?fileticket=HLju6vFJJ5o%3D&amp;tabid=1862" TargetMode="External"/><Relationship Id="rId4" Type="http://schemas.openxmlformats.org/officeDocument/2006/relationships/hyperlink" Target="https://www.unido.org/sites/default/files/files/2019-11/UNIDO_IDR2020-English_overview.pdf" TargetMode="External"/><Relationship Id="rId5" Type="http://schemas.openxmlformats.org/officeDocument/2006/relationships/hyperlink" Target="http://www.park.by/content/docs/Registr2.pdf" TargetMode="External"/><Relationship Id="rId6" Type="http://schemas.openxmlformats.org/officeDocument/2006/relationships/hyperlink" Target="http://www.park.by/content/docs/Registr7.pdf" TargetMode="External"/><Relationship Id="rId7" Type="http://schemas.openxmlformats.org/officeDocument/2006/relationships/hyperlink" Target="http://president.gov.by/ru/official_documents_ru/view/dekret-8-ot-21-dekabrja-2017-g-17716/" TargetMode="External"/><Relationship Id="rId8" Type="http://schemas.openxmlformats.org/officeDocument/2006/relationships/hyperlink" Target="https://neg.by/novosti/otkrytj/portret-belorusskoj-it-industrii" TargetMode="External"/><Relationship Id="rId9" Type="http://schemas.openxmlformats.org/officeDocument/2006/relationships/hyperlink" Target="https://dev.by/" TargetMode="External"/><Relationship Id="rId10" Type="http://schemas.openxmlformats.org/officeDocument/2006/relationships/hyperlink" Target="https://www.comptia.org/content/research/it-industry-trends-analysis" TargetMode="External"/><Relationship Id="rId11" Type="http://schemas.openxmlformats.org/officeDocument/2006/relationships/hyperlink" Target="https://www.belstat.gov.by/upload/iblock/b5e/b5eeb063dcad3c19ec3f27d642270471.pdf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BF7FD-9A36-404E-AFAF-9ABC3D030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Application>LibreOffice/7.0.6.2$Linux_X86_64 LibreOffice_project/00$Build-2</Application>
  <AppVersion>15.0000</AppVersion>
  <Pages>9</Pages>
  <Words>1767</Words>
  <Characters>11670</Characters>
  <CharactersWithSpaces>13396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2020-04-25T18:34:00Z</dcterms:created>
  <dc:creator>Gleb</dc:creator>
  <dc:description/>
  <dc:language>en-US</dc:language>
  <cp:lastModifiedBy/>
  <dcterms:modified xsi:type="dcterms:W3CDTF">2021-09-19T23:59:29Z</dcterms:modified>
  <cp:revision>255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