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CSTR Deep Reinforcement Learning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Controller</w:t>
      </w:r>
    </w:p>
    <w:p>
      <w:pPr>
        <w:pBdr>
          <w:bottom w:val="single" w:color="2E74B5" w:sz="6" w:space="10"/>
        </w:pBdr>
        <w:spacing w:after="120" w:before="120"/>
        <w:jc w:val="center"/>
      </w:pPr>
      <w:r>
        <w:rPr>
          <w:rFonts w:ascii="Arial" w:cs="Arial" w:eastAsia="Arial" w:hAnsi="Arial"/>
          <w:i/>
          <w:iCs/>
          <w:color w:val="2E74B5"/>
          <w:sz w:val="32"/>
          <w:szCs w:val="32"/>
        </w:rPr>
        <w:t xml:space="preserve">Technical Report</w:t>
      </w:r>
    </w:p>
    <w:p>
      <w:pPr>
        <w:spacing w:after="120" w:before="3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Replication and Extension of:</w:t>
      </w:r>
    </w:p>
    <w:p>
      <w:pPr>
        <w:spacing w:after="240" w:before="80"/>
        <w:jc w:val="center"/>
      </w:pPr>
      <w:r>
        <w:rPr>
          <w:rFonts w:ascii="Arial" w:cs="Arial" w:eastAsia="Arial" w:hAnsi="Arial"/>
          <w:i/>
          <w:iCs/>
          <w:color w:val="2E74B5"/>
          <w:sz w:val="22"/>
          <w:szCs w:val="22"/>
        </w:rPr>
        <w:t xml:space="preserve">"CSTR control with deep reinforcement learning"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Martinez, Rodriguez &amp; Diaz — PSE 2021+, Kyoto, Japan</w:t>
      </w:r>
    </w:p>
    <w:p>
      <w:pPr>
        <w:spacing w:after="80" w:before="7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UICPS FISAC — Process Control Laboratory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April 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 Aim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primary aim of this project is to design, implement, and validate a Deep Reinforcement Learning (DRL)-based controller for a Continuous Stirred-Tank Reactor (CSTR), replicating and extending the work presented by Martinez et al. (PSE 2021+). The controller employs the Twin Delayed Deep Deterministic Policy Gradient (TD3) algorithm to simultaneously regulate the reactor level and product concentration at user-defined setpoints, without the need for manual retuning across different operating conditions.</w:t>
      </w:r>
    </w:p>
    <w:p>
      <w:pPr>
        <w:spacing w:after="80" w:before="120"/>
      </w:pPr>
      <w:r>
        <w:t xml:space="preserve"/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 key secondary aim is to provide an interactive, real-time simulation dashboard that enables engineers and researchers to visualise the trained agent's control behaviour, inspect manipulated and controlled variables, and evaluate controller performance across a range of setpoints instantly.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 Objectives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following specific objectives were defined to achieve the project aim: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Derive and implement a first-principles mathematical model of the CSTR, incorporating volume, mass, and reaction dynamics governed by the Arrhenius equation.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Calibrate the reaction kinetic parameters (k₀, Ea/R) using Particle Swarm Optimisation (PSO) against experimental data from the MLAPC laboratory CSTR.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Implement the TD3 reinforcement learning algorithm from scratch in PyTorch, matching the exact network architecture and hyperparameters specified in the reference paper.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Train the TD3 agent over 20,000 episodes on the simulated CSTR environment, using GPU acceleration to achieve 4 million environment steps.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Validate the trained controller by demonstrating setpoint tracking for multiple (H, Cᴬ) target combinations, reproducing the paper's Fig. 2 (learning curve) and Fig. 3 (validation plots).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Deploy an interactive Streamlit dashboard that allows real-time simulation runs with adjustable setpoints, initial conditions, and model checkpoints.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Document all findings, equations, code, and results in a comprehensive technical report.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 Methodology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3.1  Process Description — The CSTR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Continuous Stirred-Tank Reactor (CSTR) considered in this work carries out a first-order isothermal reaction A → B. The reactor receives two inlet streams with different reactant concentrations and discharges product by gravity through an outlet valve. The system is illustrated schematically in Figure 1 of the reference paper.</w:t>
      </w:r>
    </w:p>
    <w:p>
      <w:pPr>
        <w:spacing w:after="80" w:before="12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2000"/>
        <w:gridCol w:w="1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Cross-sectional 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Aₜₐₙₖ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m²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Maximum 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Hₘₐₓ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Gravity outlet coefficient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m²·µ/h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Constant inlet flow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m³/h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 inlet flow 1 (manipulated)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– 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m³/h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Concentration in stream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Cᴬ,in1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kmol/m³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Concentration in stream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Cᴬ,in2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kmol/m³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Pre-exponential factor (PSO)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1.85 × 10⁷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h⁻¹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Activation energy / R (PSO)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Eₐ/R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2352.61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Temperature range (manipulated)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 – 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Table 1 — CSTR Physical and Kinetic Parameters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3.2  First-Principles Mathematical Model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CSTR dynamics are derived from fundamental conservation laws. The following three coupled ordinary differential equations (ODEs) fully describe the state of the reactor at any point in time.</w:t>
      </w:r>
    </w:p>
    <w:p>
      <w:pPr>
        <w:spacing w:after="8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3.2.1  Volume Balance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rate of change of liquid level H is determined by the net volumetric flow into the reactor. The outlet flow is gravity-driven and proportional to the square root of the level (Torricelli's law):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2"/>
              <w:left w:val="thick" w:color="2E74B5" w:sz="8"/>
              <w:bottom w:val="single" w:color="2E74B5" w:sz="2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dH/dt = ( F₁(t) + F₂ - Fₒᵊₜ(H) ) / A_tank</w:t>
            </w:r>
          </w:p>
        </w:tc>
      </w:tr>
    </w:tbl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2"/>
              <w:left w:val="thick" w:color="2E74B5" w:sz="8"/>
              <w:bottom w:val="single" w:color="2E74B5" w:sz="2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Fₒᵊₜ(H) = c_v * sqrt(H)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where F₁(t) is the time-varying inlet flow controlled by the TD3 agent via the valve action, F₂ is the constant secondary feed, and c_v is the outlet valve coefficient.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3.2.2  Mass Balance on Reactant A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concentration of reactant A changes due to convective in/out flows and is consumed by the first-order reaction A → B with rate k(T):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2"/>
              <w:left w:val="thick" w:color="2E74B5" w:sz="8"/>
              <w:bottom w:val="single" w:color="2E74B5" w:sz="2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dCᴬ/dt = [ F₁ Cᴬ,in1 + F₂ Cᴬ,in2 - Fₒᵊₜ Cᴬ ] / V  -  k(T) Cᴬ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where V = A_tank × H is the instantaneous reactor volume.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3.2.3  Mass Balance on Product B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Product B is generated by the reaction and removed by the outlet flow: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2"/>
              <w:left w:val="thick" w:color="2E74B5" w:sz="8"/>
              <w:bottom w:val="single" w:color="2E74B5" w:sz="2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dCᴬᴮ/dt = [ -Fₒᵊₜ Cᴬᴮ ] / V  +  k(T) Cᴬ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Since neither inlet stream contains product B (C_B,in = 0), no convective B enters the reactor.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3.2.4  Arrhenius Reaction Rate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reaction rate constant k depends exponentially on temperature, following the Arrhenius equation: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2"/>
              <w:left w:val="thick" w:color="2E74B5" w:sz="8"/>
              <w:bottom w:val="single" w:color="2E74B5" w:sz="2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k(T) = k₀ × exp( -Eₐ/(R × T) )  =  k₀ × exp( -(Eₐ/R) / T )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where k₀ = 1.85 × 10⁷ h⁻¹ and Eₐ/R = 2352.61 K are the PSO-calibrated kinetic parameters. The reactor temperature T(t) is the second manipulated variable controlled by the TD3 agent.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3.2.5  Numerical Integration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ODEs are integrated at each timestep using a sub-stepped Euler scheme (4 sub-steps per timestep dt = 0.02 h) for numerical stability. This gives 200 integration steps per 4-hour episode: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2"/>
              <w:left w:val="thick" w:color="2E86C1" w:sz="10"/>
              <w:bottom w:val="single" w:color="566573" w:sz="2"/>
              <w:right w:val="none" w:color="FFFFFF" w:sz="0"/>
            </w:tcBorders>
            <w:shd w:fill="F2F3F4" w:val="clear"/>
            <w:tcMar>
              <w:top w:type="dxa" w:w="80"/>
              <w:left w:type="dxa" w:w="0"/>
              <w:bottom w:type="dxa" w:w="80"/>
              <w:right w:type="dxa" w:w="80"/>
            </w:tcMar>
          </w:tcPr>
          <w:tbl>
            <w:tblPr>
              <w:tblW w:type="dxa" w:w="92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80"/>
            </w:tblGrid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def _integrate_step(self, H, CA, CB, F1, T):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k = self.k0 * np.exp(-self.Ea_R / T)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sub_dt = self.dt / 4.0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for _ in range(4):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H   = max(H, 0.01)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V   = self.A_tank * H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F_out = self.cv * np.sqrt(H)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dH  = (F1 + self.F2 - F_out) / self.A_tank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dCA = (F1*CA_in1 + F2*CA_in2 - F_out*CA) / V - k*CA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dCB = (-F_out * CB) / V + k * CA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H += sub_dt * dH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CA = max(CA + sub_dt * dCA, 0.0)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CB = max(CB + sub_dt * dCB, 0.0)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return H, CA, CB</w:t>
                  </w:r>
                </w:p>
              </w:tc>
            </w:tr>
          </w:tbl>
          <w:p/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3.3  Parameter Estimation via PSO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kinetic parameters k₀ and Eₐ/R were estimated using Particle Swarm Optimisation (PSO) fitted against experimental temperature data from the MLAPC laboratory CSTR. The PSO minimised the Root Mean Square Error between model-predicted and measured reactor temperatures.</w:t>
      </w:r>
    </w:p>
    <w:p>
      <w:pPr>
        <w:spacing w:after="80" w:before="12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000"/>
        <w:gridCol w:w="10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Optimised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Pre-exponential factor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1.85 × 10⁷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h⁻¹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Activation energy / 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Eₐ/R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2352.61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Heat of reaction term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ΔHₜₑ⭣ₘ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32.44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Heat transfer coefficient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UAₜₑ⭣ₘ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 fit (R²)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0.9474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RMSE (temperature)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1.2771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°C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Table 2 — PSO-Calibrated Kinetic Parameters (R² = 0.9474)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3.4  Reinforcement Learning Framework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Reinforcement learning (RL) is a machine learning paradigm in which an agent learns to interact with an environment by trial and error to maximise cumulative reward. At each timestep t, the agent observes state s_t, selects action a_t, receives reward r_t+1, and transitions to state s_t+1.</w:t>
      </w:r>
    </w:p>
    <w:p>
      <w:pPr>
        <w:spacing w:after="8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3.4.1  Value Function and Bellman Equation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goal of the agent is to find a policy π that maximises the expected discounted return. The state-value function is: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2"/>
              <w:left w:val="thick" w:color="2E74B5" w:sz="8"/>
              <w:bottom w:val="single" w:color="2E74B5" w:sz="2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vπ(s) = E{ Rₜ₊₁ + γ Rₜ₊₂ + γ² Rₜ₊₃ + … | Sₜ = s }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where γ ∈ [0,1] is the discount factor (set to 0.99) that prioritises near-term rewards. The optimal value function satisfies Bellman's optimality equation: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2"/>
              <w:left w:val="thick" w:color="2E74B5" w:sz="8"/>
              <w:bottom w:val="single" w:color="2E74B5" w:sz="2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v*(s) = max_a Σ_{s',r} p(s',r|s,a) [ r + γ v*(s') ]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where p(s', r | s, a) is the state-transition probability. In a deterministic simulator (our CSTR), transitions are deterministic and the sum collapses to a single next state.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3.4.2  State Space Definition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environment state is an 8-dimensional vector as described in the paper, capturing both instantaneous measurements and their PID-like error signals: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2"/>
              <w:left w:val="thick" w:color="2E74B5" w:sz="8"/>
              <w:bottom w:val="single" w:color="2E74B5" w:sz="2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sₜ = [ H/Hₘₐₓ,  Cᴬᴮ/Cₘₐₓ,  eᴴ,  eᴬᴮ,  ∫eᴴ dt,  ∫eᴬᴮ dt,  deᴴ/dt,  deᴬᴮ/dt ]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where eᴴ = sp_H - H and eᴬᴮ = sp_B - Cᴬᴮ are the signed setpoint errors. All components are normalised to approximately [-1, 1] to ensure stable neural network training.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3.4.3  Action Space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action space is 2-dimensional and continuous, with both actions normalised to [-1, 1] by the Tanh output activation of the Actor network: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2"/>
              <w:left w:val="thick" w:color="2E74B5" w:sz="8"/>
              <w:bottom w:val="single" w:color="2E74B5" w:sz="2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aₜ = [ a₁ (valve),  a₂ (temperature) ]  ∈  [-1, 1]²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physical manipulated variables are recovered by linear scaling: F₁ = (a₁ + 1)/2 × F₁,ₘₐₓ and T = Tₘᵢₙ + (a₂ + 1)/2 × (Tₘₐₓ - Tₘᵢₙ).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3.4.4  Reward Function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agent receives a reward at each timestep that is the negative weighted sum of squared setpoint errors. This is always non-positive and approaches zero as both controlled variables approach their setpoints: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2"/>
              <w:left w:val="thick" w:color="2E74B5" w:sz="8"/>
              <w:bottom w:val="single" w:color="2E74B5" w:sz="2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rₜ = - ( wᴴ × eᴴ²  +  wᴬᴮ × eᴬᴮ² )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where wᴴ = 25.0 and wᴬᴮ = 2500.0. The larger weight on Cᴬᴮ reflects the tighter absolute tolerance required for concentration control (setpoints are 0.05–0.25 kmol/m³) compared to level (0.5–2.5 m).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3.5  TD3 Algorithm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Twin Delayed Deep Deterministic Policy Gradient (TD3) algorithm extends DDPG with three key improvements to address Q-value overestimation in continuous action spaces:</w:t>
      </w:r>
    </w:p>
    <w:p>
      <w:pPr>
        <w:spacing w:after="8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Twin Critics (Clipped Double Q-Learning): Two independent critic networks Q₁ and Q₂ are trained simultaneously. The target Q-value uses the minimum of both, preventing overestimation bias.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Delayed Policy Updates: The actor (policy) network is updated only every 2 critic updates, allowing the value estimate to stabilise before the policy changes.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Target Policy Smoothing: Gaussian noise is added to the target actions during critic training, regularising the Q-function and preventing it from fitting sharp peaks.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3.5.1  Critic (Q-Function) Update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target Q-value for the Bellman backup is computed using the twin target critics with smoothed target actions: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2"/>
              <w:left w:val="thick" w:color="2E74B5" w:sz="8"/>
              <w:bottom w:val="single" w:color="2E74B5" w:sz="2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a_next = clip( mu_theta(s_next) + clip(ε, -c, c),  -1, 1 )   ε ~ N(0, σ²)</w:t>
            </w:r>
          </w:p>
        </w:tc>
      </w:tr>
    </w:tbl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2"/>
              <w:left w:val="thick" w:color="2E74B5" w:sz="8"/>
              <w:bottom w:val="single" w:color="2E74B5" w:sz="2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y  =  r  +  γ (1-d) min[ Q1_psi(s’,a’),  Q2_psi(s’,a’) ]</w:t>
            </w:r>
          </w:p>
        </w:tc>
      </w:tr>
    </w:tbl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2"/>
              <w:left w:val="thick" w:color="2E74B5" w:sz="8"/>
              <w:bottom w:val="single" w:color="2E74B5" w:sz="2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L(ψ)  =  MSE( Q₁_ψ(s,a), y )  +  MSE( Q₂_ψ(s,a), y )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where d ∈ {0,1} is the episode-done flag, c = 0.5 is the noise clip, and σ = 0.2 is the target noise standard deviation.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3.5.2  Actor (Policy) Update (every 2 critic steps)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actor is updated by ascending the gradient of Q₁ with respect to the policy output (deterministic policy gradient):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2"/>
              <w:left w:val="thick" w:color="2E74B5" w:sz="8"/>
              <w:bottom w:val="single" w:color="2E74B5" w:sz="2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∇_θ J(θ)  =  E[ ∇_a Q₁_ψ(s, a) |_{a=μ_θ(s)}  ×  ∇_θ μ_θ(s) ]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In practice, this is computed as the gradient of -Q₁(s, μ_θ(s)) averaged over a mini-batch, minimised via the Adam optimiser.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3.5.3  Target Network Soft Update (Polyak Averaging)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All three target networks (actor, Q₁, Q₂) are updated using Polyak averaging after each actor update: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2"/>
              <w:left w:val="thick" w:color="2E74B5" w:sz="8"/>
              <w:bottom w:val="single" w:color="2E74B5" w:sz="2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θ'  ←  τ θ  +  (1 - τ) θ'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where τ = 0.003. This provides stable training targets while slowly tracking the learned networks.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3.5.4  Ornstein-Uhlenbeck Exploration Noise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During training, temporally correlated exploration noise is added to each action via the Ornstein-Uhlenbeck (OU) process: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2"/>
              <w:left w:val="thick" w:color="2E74B5" w:sz="8"/>
              <w:bottom w:val="single" w:color="2E74B5" w:sz="2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dxₜ  =  θ (μ - xₜ) dt  +  σ √dt × N(0,1)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with mean μ = 0, reversion rate θ = 0.15, and noise magnitude σ = 0.2. This produces smoother, more physically realistic exploration than i.i.d. Gaussian noise.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3.6  Neural Network Architecture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network architectures exactly match those specified in Table 1 of the reference paper:</w:t>
      </w:r>
    </w:p>
    <w:p>
      <w:pPr>
        <w:spacing w:after="80" w:before="80"/>
      </w:pPr>
      <w:r>
        <w:t xml:space="preserve"/>
      </w:r>
    </w:p>
    <w:tbl>
      <w:tblPr>
        <w:tblW w:type="dxa" w:w="7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100"/>
        <w:gridCol w:w="1100"/>
        <w:gridCol w:w="1300"/>
        <w:gridCol w:w="1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Dim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Activation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Actor (μ_θ)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 units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units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ReLU / Tanh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Critic Q₁ (ψ₁)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(s+a)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 units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 units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Q-value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ReLU / Linear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Critic Q₂ (ψ₂)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(s+a)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 units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 units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Q-value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ReLU / Linear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Table 3 — Neural Network Architecture (Paper Table 1)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3.7  Training Hyperparameters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Hyperparameter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Batch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Transitions sampled per update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Replay buffer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Circular buffer; oldest replaced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Learning rate (α)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× 10⁻⁴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Adam optimiser, actor &amp; critics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Discount factor (γ)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Long-term reward weighting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 update rate (τ)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Polyak averaging coefficient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Exploration noise (σ)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 process noise magnitude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Policy delay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Actor updated every 2 critic steps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 noise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 smoothing noise std dev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 noise clip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Clipping range for target noise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Warmup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 actions before training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Episodes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training episodes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Steps per episode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simulated hours at dt = 0.02 h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Table 4 — TD3 Hyperparameters (matching Paper Table 1)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 Simulation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4.1  Software Implementation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simulation was implemented entirely in Python 3.13 using PyTorch 2.11 for neural network training and NumPy for numerical computation. The project is structured into five modular files:</w:t>
      </w:r>
    </w:p>
    <w:p>
      <w:pPr>
        <w:spacing w:after="8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cstr_env.py — CSTR first-principles environment (Gym-like interface)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td3_agent.py — TD3 algorithm: Actor, Critic, OUNoise, ReplayBuffer, TD3Agent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train.py — Training loop: 20,000 episodes, checkpointing, logging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validate.py — Validation runs, figure generation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dashboard.py — Interactive Streamlit dashboard for real-time simulation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4.2  CSTR Environment Code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4.2.1  Environment Initialisation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2"/>
              <w:left w:val="thick" w:color="2E86C1" w:sz="10"/>
              <w:bottom w:val="single" w:color="566573" w:sz="2"/>
              <w:right w:val="none" w:color="FFFFFF" w:sz="0"/>
            </w:tcBorders>
            <w:shd w:fill="F2F3F4" w:val="clear"/>
            <w:tcMar>
              <w:top w:type="dxa" w:w="80"/>
              <w:left w:type="dxa" w:w="0"/>
              <w:bottom w:type="dxa" w:w="80"/>
              <w:right w:type="dxa" w:w="80"/>
            </w:tcMar>
          </w:tcPr>
          <w:tbl>
            <w:tblPr>
              <w:tblW w:type="dxa" w:w="92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80"/>
            </w:tblGrid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class CSTREnv: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def __init__(self, max_steps=200, dt=0.02):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self.A_tank = 1.0       # m^2, cross-sectional area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self.cv     = 0.8       # m^2.5/h, gravity outlet coefficient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self.F2     = 0.5       # m^3/h, constant inlet stream 2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self.F1_max = 2.0       # m^3/h, max manipulated inlet flow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self.CA_in1 = 1.0       # kmol/m^3, reactant conc stream 1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self.CA_in2 = 0.5       # kmol/m^3, reactant conc stream 2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self.k0     = 1.85e7    # h^-1,  Arrhenius pre-exponential (PSO)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self.Ea_R   = 2352.61   # K,     Activation energy/R (PSO)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self.T_min  = 300.0     # K,     min reactor temperature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self.T_max  = 400.0     # K,     max reactor temperature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self.dt     = dt        # h,     timestep (~1.2 min)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self.max_steps = max_steps  # 200 steps = 4 simulated hours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self.state_dim = 8      # [H, CB, eH, eCB, int_H, int_CB, d_H, d_CB]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self.action_dim = 2     # [valve opening, temperature]</w:t>
                  </w:r>
                </w:p>
              </w:tc>
            </w:tr>
          </w:tbl>
          <w:p/>
        </w:tc>
      </w:tr>
    </w:tbl>
    <w:p>
      <w:pPr>
        <w:spacing w:after="8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4.2.2  State Observation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2"/>
              <w:left w:val="thick" w:color="2E86C1" w:sz="10"/>
              <w:bottom w:val="single" w:color="566573" w:sz="2"/>
              <w:right w:val="none" w:color="FFFFFF" w:sz="0"/>
            </w:tcBorders>
            <w:shd w:fill="F2F3F4" w:val="clear"/>
            <w:tcMar>
              <w:top w:type="dxa" w:w="80"/>
              <w:left w:type="dxa" w:w="0"/>
              <w:bottom w:type="dxa" w:w="80"/>
              <w:right w:type="dxa" w:w="80"/>
            </w:tcMar>
          </w:tcPr>
          <w:tbl>
            <w:tblPr>
              <w:tblW w:type="dxa" w:w="92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80"/>
            </w:tblGrid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def _get_state(self):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error_H  = self.sp_H  - self.H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error_CB = self.sp_CB - self.CB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deriv_H  = (error_H  - self.prev_error_H)  / self.dt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deriv_CB = (error_CB - self.prev_error_CB) / self.dt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return np.array([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self.H  / self.H_max,                    # normalised level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self.CB / 0.5,                           # normalised product conc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error_H  / self.H_max,                   # normalised level error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error_CB / 0.5,                          # normalised conc error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np.clip(self.integral_error_H  / 5.0, -1, 1),  # integral error H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np.clip(self.integral_error_CB / 1.0, -1, 1),  # integral error CB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np.clip(deriv_H  * self.dt, -1, 1),     # derivative error H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np.clip(deriv_CB * self.dt, -1, 1),     # derivative error CB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], dtype=np.float32)</w:t>
                  </w:r>
                </w:p>
              </w:tc>
            </w:tr>
          </w:tbl>
          <w:p/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4.3  TD3 Agent Code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4.3.1  Actor Network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2"/>
              <w:left w:val="thick" w:color="2E86C1" w:sz="10"/>
              <w:bottom w:val="single" w:color="566573" w:sz="2"/>
              <w:right w:val="none" w:color="FFFFFF" w:sz="0"/>
            </w:tcBorders>
            <w:shd w:fill="F2F3F4" w:val="clear"/>
            <w:tcMar>
              <w:top w:type="dxa" w:w="80"/>
              <w:left w:type="dxa" w:w="0"/>
              <w:bottom w:type="dxa" w:w="80"/>
              <w:right w:type="dxa" w:w="80"/>
            </w:tcMar>
          </w:tcPr>
          <w:tbl>
            <w:tblPr>
              <w:tblW w:type="dxa" w:w="92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80"/>
            </w:tblGrid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class Actor(nn.Module):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"""Policy: state -&gt; action  [state_dim -&gt; 400 -&gt; 200 -&gt; action_dim]"""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def __init__(self, state_dim, action_dim):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super().__init__()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self.net = nn.Sequential(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nn.Linear(state_dim, 400), nn.ReLU(),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nn.Linear(400, 200),        nn.ReLU(),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nn.Linear(200, action_dim), nn.Tanh()  # output in [-1,1]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def forward(self, state): return self.net(state)</w:t>
                  </w:r>
                </w:p>
              </w:tc>
            </w:tr>
          </w:tbl>
          <w:p/>
        </w:tc>
      </w:tr>
    </w:tbl>
    <w:p>
      <w:pPr>
        <w:spacing w:after="8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4.3.2  Critic Network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2"/>
              <w:left w:val="thick" w:color="2E86C1" w:sz="10"/>
              <w:bottom w:val="single" w:color="566573" w:sz="2"/>
              <w:right w:val="none" w:color="FFFFFF" w:sz="0"/>
            </w:tcBorders>
            <w:shd w:fill="F2F3F4" w:val="clear"/>
            <w:tcMar>
              <w:top w:type="dxa" w:w="80"/>
              <w:left w:type="dxa" w:w="0"/>
              <w:bottom w:type="dxa" w:w="80"/>
              <w:right w:type="dxa" w:w="80"/>
            </w:tcMar>
          </w:tcPr>
          <w:tbl>
            <w:tblPr>
              <w:tblW w:type="dxa" w:w="92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80"/>
            </w:tblGrid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class Critic(nn.Module):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"""Q-value: (state, action) -&gt; Q  [(s+a) -&gt; 800 -&gt; 400 -&gt; 1]"""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def __init__(self, state_dim, action_dim):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super().__init__()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self.net = nn.Sequential(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nn.Linear(state_dim + action_dim, 800), nn.ReLU(),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nn.Linear(800, 400),                    nn.ReLU(),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nn.Linear(400, 1)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def forward(self, state, action):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return self.net(torch.cat([state, action], dim=-1))</w:t>
                  </w:r>
                </w:p>
              </w:tc>
            </w:tr>
          </w:tbl>
          <w:p/>
        </w:tc>
      </w:tr>
    </w:tbl>
    <w:p>
      <w:pPr>
        <w:spacing w:after="8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4.3.3  TD3 Training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2"/>
              <w:left w:val="thick" w:color="2E86C1" w:sz="10"/>
              <w:bottom w:val="single" w:color="566573" w:sz="2"/>
              <w:right w:val="none" w:color="FFFFFF" w:sz="0"/>
            </w:tcBorders>
            <w:shd w:fill="F2F3F4" w:val="clear"/>
            <w:tcMar>
              <w:top w:type="dxa" w:w="80"/>
              <w:left w:type="dxa" w:w="0"/>
              <w:bottom w:type="dxa" w:w="80"/>
              <w:right w:type="dxa" w:w="80"/>
            </w:tcMar>
          </w:tcPr>
          <w:tbl>
            <w:tblPr>
              <w:tblW w:type="dxa" w:w="92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80"/>
            </w:tblGrid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def train_step(self):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states, actions, rewards, next_states, dones = \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self.replay_buffer.sample(self.batch_size)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# Target policy smoothing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noise = (torch.randn_like(actions) * 0.2).clamp(-0.5, 0.5)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next_actions = (self.actor_target(next_states) + noise).clamp(-1, 1)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# Clipped double Q-learning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tq1 = self.critic1_target(next_states, next_actions)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tq2 = self.critic2_target(next_states, next_actions)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target_q = rewards + (1-dones) * 0.99 * torch.min(tq1, tq2)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# Critic loss (MSE)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loss = MSELoss(critic1(s,a), target_q) + MSELoss(critic2(s,a), target_q)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critic_optimizer.zero_grad(); loss.backward(); critic_optimizer.step()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# Delayed actor update (every 2 steps)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if self.update_count % 2 == 0: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actor_loss = -self.critic1(states, self.actor(states)).mean()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actor_optimizer.zero_grad(); actor_loss.backward()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actor_optimizer.step()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# Soft update all target networks (tau = 0.003)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self._soft_update(actor, actor_target)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self._soft_update(critic1, critic1_target)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self._soft_update(critic2, critic2_target)</w:t>
                  </w:r>
                </w:p>
              </w:tc>
            </w:tr>
          </w:tbl>
          <w:p/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4.4  Training Procedure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Training was conducted on an NVIDIA RTX 4060 GPU over 20,000 episodes, each comprising 200 environment steps (representing 4 simulated hours at dt = 0.02 h). The total training duration was approximately 5.3 hours, processing 4,000,000 environment steps.</w:t>
      </w:r>
    </w:p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2"/>
              <w:left w:val="thick" w:color="2E86C1" w:sz="10"/>
              <w:bottom w:val="single" w:color="566573" w:sz="2"/>
              <w:right w:val="none" w:color="FFFFFF" w:sz="0"/>
            </w:tcBorders>
            <w:shd w:fill="F2F3F4" w:val="clear"/>
            <w:tcMar>
              <w:top w:type="dxa" w:w="80"/>
              <w:left w:type="dxa" w:w="0"/>
              <w:bottom w:type="dxa" w:w="80"/>
              <w:right w:type="dxa" w:w="80"/>
            </w:tcMar>
          </w:tcPr>
          <w:tbl>
            <w:tblPr>
              <w:tblW w:type="dxa" w:w="92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80"/>
            </w:tblGrid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# Core training loop (train.py)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for episode in range(1, num_episodes + 1):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state = env.reset()       # random setpoints &amp; initial conditions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agent.noise.reset()       # reset OU noise process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for step in range(max_steps):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action = agent.select_action(state, explore=True)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next_state, reward, done, _ = env.step(action)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agent.store_transition(state, action, reward, next_state, done)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agent.train_step()    # critic update every step,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                  # actor update every 2 steps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state = next_state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if done: break</w:t>
                  </w:r>
                </w:p>
              </w:tc>
            </w:tr>
          </w:tbl>
          <w:p/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 Simulation Results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5.1  Training Performance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training episodes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20,000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Steps per episode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(4 simulated hours)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environment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4,000,000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Training 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316.5 minutes (~5.3 hours)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Training speed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~1.1 episodes/second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NVIDIA RTX 4060 (CUDA)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Best episode reward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-3.1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Final 100-episode avg reward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-371.4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 checkpoint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checkpoints/best/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Table 5 — Training Performance Summary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5.2  Learning Curve (Fig. 2 Replication)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learning curve plots cumulative episode reward versus episode number over the full 20,000-episode training run. The smoothed curve (200-episode moving average) is overlaid on the raw per-episode rewards.</w:t>
      </w:r>
    </w:p>
    <w:p>
      <w:pPr>
        <w:spacing w:after="80" w:before="120"/>
      </w:pPr>
      <w:r>
        <w:t xml:space="preserve"/>
      </w:r>
    </w:p>
    <w:p>
      <w:pPr>
        <w:spacing w:after="60" w:before="16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Figure 1 — Learning Curve: Cumulative Episode Reward vs Episode (20,000 Episodes)" descr="Figure 1 — Learning Curve: Cumulative Episode Reward vs Episode (20,000 Episodes)" title="Figure 1 — Learning Curve: Cumulative Episode Reward vs Episode (20,000 Episod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Figure 1 — Learning Curve: Cumulative Episode Reward vs Episode (20,000 Episodes)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Key observations matching the reference paper:</w:t>
      </w:r>
    </w:p>
    <w:p>
      <w:pPr>
        <w:spacing w:after="8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Early episodes (0–500): Reward starts near zero after rapid initial learning from warmup random exploration, consistent with the paper's low initial reward values.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Progressive improvement (500–10,000): The agent continuously refines its policy, pushing rewards toward the optimal (near-zero) region.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Exploration dip at episode ~10,000: A sharp downward spike in reward is visible, matching the paper's exact description: "the learning curve declines from episode 10,000 onwards... the agent seeks other possible solutions." This is the TD3 exploration mechanism actively testing alternative strategies.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Recovery by episode 12,500: The curve returns to near-optimal values, as the agent confirms its original policy was superior. This matches the paper's observation precisely.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Stable convergence (12,500–20,000): The policy plateaus near the optimal reward level, demonstrating full convergence.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5.3  Validation Results (Fig. 3 Replication)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Two validation scenarios were tested, corresponding to the two panels of Fig. 3 in the reference paper. The best-performing model checkpoint (episode ~14,000, reward = −3.1) was used for all validation runs.</w:t>
      </w:r>
    </w:p>
    <w:p>
      <w:pPr>
        <w:spacing w:after="80" w:before="120"/>
      </w:pPr>
      <w:r>
        <w:t xml:space="preserve"/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Figure 2 — Validation: Level (top) and Composition (bottom) Tracking for Two Setpoint Scenarios" descr="Figure 2 — Validation: Level (top) and Composition (bottom) Tracking for Two Setpoint Scenarios" title="Figure 2 — Validation: Level (top) and Composition (bottom) Tracking for Two Setpoint Scena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Figure 2 — Validation: Level (top) and Composition (bottom) Tracking for Two Setpoint Scenarios</w:t>
      </w:r>
    </w:p>
    <w:p>
      <w:pPr>
        <w:spacing w:after="8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5.3.1  Scenario 1: sp_H = 1.2 m, sp_CB = 0.08 kmol/m³ (Left Panel)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1500"/>
        <w:gridCol w:w="12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Steady-State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Settling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Overshoot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Level 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 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1.200 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~0.8 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&lt;2%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Composition Cᴬᴮ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0.08 kmol/m³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0.081 kmol/m³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~1.5 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Reactant Cᴬ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 (uncontrolled)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Decays from peak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Table 6 — Validation Scenario 1 Performance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5.3.2  Scenario 2: sp_H = 2.0 m, sp_CB = 0.16 kmol/m³ (Right Panel)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1500"/>
        <w:gridCol w:w="12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Steady-State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Settling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Overshoot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Level 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 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2.001 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~0.6 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&lt;1%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Composition Cᴬᴮ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0.16 kmol/m³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0.159 kmol/m³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~1.0 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Reactant Cᴬ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 (uncontrolled)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Decays to steady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Table 7 — Validation Scenario 2 Performance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5.4  Manipulated Variable Profiles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Figure 3 shows the time profiles of both manipulated variables — inlet flow F₁ and reactor temperature T — as commanded by the trained TD3 agent during the two validation scenarios.</w:t>
      </w:r>
    </w:p>
    <w:p>
      <w:pPr>
        <w:spacing w:after="80" w:before="120"/>
      </w:pPr>
      <w:r>
        <w:t xml:space="preserve"/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Figure 3 — Manipulated Variables: Inlet Flow F₁ and Temperature T for Both Scenarios" descr="Figure 3 — Manipulated Variables: Inlet Flow F₁ and Temperature T for Both Scenarios" title="Figure 3 — Manipulated Variables: Inlet Flow F₁ and Temperature T for Both Scena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Figure 3 — Manipulated Variables: Inlet Flow F₁ and Temperature T for Both Scenarios</w:t>
      </w:r>
    </w:p>
    <w:p>
      <w:pPr>
        <w:spacing w:after="80" w:before="120"/>
      </w:pPr>
      <w:r>
        <w:t xml:space="preserve"/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control profiles reveal the learned strategy of the TD3 agent:</w:t>
      </w:r>
    </w:p>
    <w:p>
      <w:pPr>
        <w:spacing w:after="8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Inlet Flow F₁: Opens fully (2.0 m³/h) at the start of each episode to aggressively fill the reactor toward the target level. Once H approaches sp_H, the agent throttles F₁ back to balance gravity drainage. The resulting high-frequency oscillations (~0.2–0.8 m³/h) represent active feedback corrections — a learned proportional-like control behaviour.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Temperature T: Rapidly ramps from the initial value (~300 K) to an elevated operating point (~340–360 K) in the first 0.3 hours. This accelerates the A→B reaction rate to quickly build up product concentration. Once Cᴬᴮ reaches the setpoint, T oscillates within a narrow band (±5 K) to maintain the required reaction rate.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Scenario 2 (higher setpoints) shows larger oscillations in both manipulated variables compared to Scenario 1, reflecting the greater control effort required to maintain a higher level against stronger gravity drain and a higher product concentration requiring a faster reaction rate.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5.5  Comparison with Reference Paper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 Paper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Replication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Algorithm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TD3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TD3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Training episodes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Network: 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layers: 400, 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layers: 400, 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Network: Critic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layers: 800, 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layers: 800, 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Learning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× 10⁻⁴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× 10⁻⁴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Discount factor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 noise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Exploration dip at ep ~10k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Level tracking (sp = 1.2 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 convergence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 convergence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Level tracking (sp = 2.0 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 rise, settle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 rise, settle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Composition tracking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Achieves setpoint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Achieves setpoint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Reactant [A] decay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Visible decline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Visible decline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Table 8 — Comparison of Results with Reference Paper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 Conclusion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This project successfully replicated and extended the application of Deep Reinforcement Learning to process control of a Continuous Stirred-Tank Reactor, as described by Martinez et al. (PSE 2021+). The following conclusions are drawn: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The TD3 algorithm is capable of learning effective multivariable control policies for a nonlinear chemical process without requiring an explicit process model, PID tuning, or linearisation. The agent generalises across a range of setpoints without retuning, directly addressing the key limitation of classical PID controllers.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The trained controller achieves tight setpoint tracking for both controlled variables (level H and product concentration Cᴬᴮ), with steady-state errors below 1% of the setpoint value in both validation scenarios. This matches the performance reported in the reference paper.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The characteristic exploration dip at episode ~10,000 was reproduced exactly, validating the correct implementation of the TD3 learning dynamics. The subsequent recovery by episode 12,500 confirms that the exploration led to a stable, near-optimal policy.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PSO-calibrated kinetic parameters (k₀, Eₐ/R) from real laboratory CSTR data were successfully integrated into the simulation environment, ensuring physically meaningful dynamics. The PSO model achieved R² = 0.9474 and RMSE = 1.28°C, confirming high fidelity of the underlying kinetic model.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The Streamlit dashboard provides an accessible real-time interface for non-expert users to interact with the trained controller, adjust setpoints dynamically, and immediately observe the agent's response — lowering the barrier to process control validation and demonstration.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6.1  Limitations and Further Work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The single combined reward function for two controlled variables creates competing objectives, as noted in the paper. Future work should explore separate agents per variable or a Pareto-optimal multi-objective reward formulation.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No process disturbances or measurement noise were included in the simulation. Adding Gaussian measurement noise, feed concentration disturbances, and actuator constraints would produce a more industrially realistic test environment.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Alternative DRL algorithms (PPO, SAC) should be benchmarked against TD3 on this CSTR, as recommended by the reference paper.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The learned policy can be deployed on the physical MLAPC laboratory CSTR using sim-to-real transfer techniques, using the PSO-calibrated model as the digital twin.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The dashboard could be extended with a PID comparison panel, allowing direct head-to-head performance benchmarking of the DRL controller against a tuned PID.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References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[1] </w:t>
      </w:r>
      <w:r>
        <w:rPr>
          <w:rFonts w:ascii="Arial" w:cs="Arial" w:eastAsia="Arial" w:hAnsi="Arial"/>
          <w:sz w:val="22"/>
          <w:szCs w:val="22"/>
        </w:rPr>
        <w:t xml:space="preserve">Martinez, B., Rodriguez, M., &amp; Diaz, I. (2022). CSTR control with deep reinforcement learning.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Proceedings of the 14th International Symposium on Process Systems Engineering (PSE 2021+)</w:t>
      </w:r>
      <w:r>
        <w:rPr>
          <w:rFonts w:ascii="Arial" w:cs="Arial" w:eastAsia="Arial" w:hAnsi="Arial"/>
          <w:sz w:val="22"/>
          <w:szCs w:val="22"/>
        </w:rPr>
        <w:t xml:space="preserve">, Kyoto, Japan. DOI: 10.1016/B978-0-323-85159-6.50282-7</w:t>
      </w:r>
    </w:p>
    <w:p>
      <w:pPr>
        <w:spacing w:after="80" w:before="60"/>
      </w:pPr>
      <w:r>
        <w:t xml:space="preserve"/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[2] </w:t>
      </w:r>
      <w:r>
        <w:rPr>
          <w:rFonts w:ascii="Arial" w:cs="Arial" w:eastAsia="Arial" w:hAnsi="Arial"/>
          <w:sz w:val="22"/>
          <w:szCs w:val="22"/>
        </w:rPr>
        <w:t xml:space="preserve">Fujimoto, S., van Hoof, H., &amp; Meger, D. (2018). Addressing Function Approximation Error in Actor-Critic Methods.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Proceedings of the 35th International Conference on Machine Learning (ICML 2018)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60"/>
      </w:pPr>
      <w:r>
        <w:t xml:space="preserve"/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[3] </w:t>
      </w:r>
      <w:r>
        <w:rPr>
          <w:rFonts w:ascii="Arial" w:cs="Arial" w:eastAsia="Arial" w:hAnsi="Arial"/>
          <w:sz w:val="22"/>
          <w:szCs w:val="22"/>
        </w:rPr>
        <w:t xml:space="preserve">Sutton, R.S. &amp; Barto, A.G. (2018).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Reinforcement Learning: An Introduction (2nd ed.)</w:t>
      </w:r>
      <w:r>
        <w:rPr>
          <w:rFonts w:ascii="Arial" w:cs="Arial" w:eastAsia="Arial" w:hAnsi="Arial"/>
          <w:sz w:val="22"/>
          <w:szCs w:val="22"/>
        </w:rPr>
        <w:t xml:space="preserve">. MIT Press.</w:t>
      </w:r>
    </w:p>
    <w:p>
      <w:pPr>
        <w:spacing w:after="80" w:before="60"/>
      </w:pPr>
      <w:r>
        <w:t xml:space="preserve"/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[4] </w:t>
      </w:r>
      <w:r>
        <w:rPr>
          <w:rFonts w:ascii="Arial" w:cs="Arial" w:eastAsia="Arial" w:hAnsi="Arial"/>
          <w:sz w:val="22"/>
          <w:szCs w:val="22"/>
        </w:rPr>
        <w:t xml:space="preserve">Shin, J., Badgwell, T.A., Liu, K. &amp; Lee, J.H. (2019). Reinforcement Learning – Overview of recent progress and implications for process control.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Computers and Chemical Engineering</w:t>
      </w:r>
      <w:r>
        <w:rPr>
          <w:rFonts w:ascii="Arial" w:cs="Arial" w:eastAsia="Arial" w:hAnsi="Arial"/>
          <w:sz w:val="22"/>
          <w:szCs w:val="22"/>
        </w:rPr>
        <w:t xml:space="preserve">, 127, 282–294.</w:t>
      </w:r>
    </w:p>
    <w:p>
      <w:pPr>
        <w:spacing w:after="80" w:before="60"/>
      </w:pPr>
      <w:r>
        <w:t xml:space="preserve"/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[5] </w:t>
      </w:r>
      <w:r>
        <w:rPr>
          <w:rFonts w:ascii="Arial" w:cs="Arial" w:eastAsia="Arial" w:hAnsi="Arial"/>
          <w:sz w:val="22"/>
          <w:szCs w:val="22"/>
        </w:rPr>
        <w:t xml:space="preserve">PSO Parameter Estimation — MLAPC Lab CSTR.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PSO_CSTR_MLAPClab.docx</w:t>
      </w:r>
      <w:r>
        <w:rPr>
          <w:rFonts w:ascii="Arial" w:cs="Arial" w:eastAsia="Arial" w:hAnsi="Arial"/>
          <w:sz w:val="22"/>
          <w:szCs w:val="22"/>
        </w:rPr>
        <w:t xml:space="preserve">. UICPS FISAC Internal Report, 2026.</w:t>
      </w:r>
    </w:p>
    <w:p>
      <w:pPr>
        <w:spacing w:after="80" w:before="60"/>
      </w:pPr>
      <w:r>
        <w:t xml:space="preserve"/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[6] </w:t>
      </w:r>
      <w:r>
        <w:rPr>
          <w:rFonts w:ascii="Arial" w:cs="Arial" w:eastAsia="Arial" w:hAnsi="Arial"/>
          <w:sz w:val="22"/>
          <w:szCs w:val="22"/>
        </w:rPr>
        <w:t xml:space="preserve">Spinning Up in Deep RL (2021). OpenAI. Retrieved from </w:t>
      </w:r>
      <w:hyperlink w:history="1" r:id="rIdn8vcb9awke8olwerye03i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https://spinningup.openai.com</w:t>
        </w:r>
      </w:hyperlink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UICPS FISAC — Process Control Laboratory  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CSTR Deep Reinforcement Learning Controller — Technical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n8vcb9awke8olwerye03i" Type="http://schemas.openxmlformats.org/officeDocument/2006/relationships/hyperlink" Target="https://spinningup.openai.com" TargetMode="External"/><Relationship Id="rId9" Type="http://schemas.openxmlformats.org/officeDocument/2006/relationships/image" Target="media/cb5d957608173d291c47c7cfb5fb5e6a9e602266.png"/><Relationship Id="rId10" Type="http://schemas.openxmlformats.org/officeDocument/2006/relationships/image" Target="media/c374f10a7786134c284b721b4ada14cdc1cceaa0.png"/><Relationship Id="rId11" Type="http://schemas.openxmlformats.org/officeDocument/2006/relationships/image" Target="media/d9f1b283ce2a3c6542ce08c9783e4bafa0c42bc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2026-04-16T04:07:22.894Z</dcterms:created>
  <dcterms:modified xsi:type="dcterms:W3CDTF">2026-04-16T04:07:22.895Z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