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76" w:lineRule="auto"/>
      </w:pPr>
      <w:r>
        <w:rPr>
          <w:sz w:val="22"/>
        </w:rPr>
        <w:t>BUSINESS CONTINUITY, DISASTER RECOVERY, AND ESCALATION POLICY</w:t>
        <w:br/>
        <w:t>Document Reference: DG-OPE-2025-0186 | Version: 2.4 | Effective Date: 2025-02-21</w:t>
        <w:br/>
        <w:t>Primary Organization: Vanguard Telemetry Systems LLC</w:t>
        <w:br/>
        <w:t>Counterparty / Scope: BlueRidge Civic Credit Union</w:t>
        <w:br/>
        <w:t>================================================================================</w:t>
      </w:r>
    </w:p>
    <w:p>
      <w:pPr>
        <w:spacing w:after="120" w:line="276" w:lineRule="auto"/>
      </w:pPr>
      <w:r>
        <w:rPr>
          <w:sz w:val="22"/>
        </w:rPr>
        <w:t>1. OPERATIONAL SCOPE, OBJECTIVES, AND GOVERNANCE FRAMEWORK</w:t>
        <w:br/>
        <w:t>1.1 Purpose. This Business Continuity, Disaster Recovery, and Escalation Policy ("Operational Policy") defines the operational resilience, access governance, acceptable use, change management, and escalation procedures maintained by Vanguard Telemetry Systems LLC ("Operator") supporting mission-critical workflows for BlueRidge Civic Credit Union as of 2025-02-21.</w:t>
        <w:br/>
        <w:t>1.2 Covered Systems and Personnel. This Operational Policy applies to all production cloud clusters, administrative bastion hosts, CI/CD deployment pipelines, customer support tooling, and all employees, contractors, and operational personnel acting on Operator's behalf.</w:t>
        <w:br/>
        <w:t>1.3 Operational Ownership. The Vice President of Infrastructure Operations and the Enterprise Risk Committee oversee adherence to the controls and escalation thresholds established herein.</w:t>
      </w:r>
    </w:p>
    <w:p>
      <w:pPr>
        <w:spacing w:after="120" w:line="276" w:lineRule="auto"/>
      </w:pPr>
      <w:r>
        <w:rPr>
          <w:sz w:val="22"/>
        </w:rPr>
        <w:t>2. CHANGE MANAGEMENT, MONITORING, AND ACCEPTABLE USE BASELINES</w:t>
        <w:br/>
        <w:t>2.1 Production Change Control. Standard infrastructure and application releases must pass automated integration testing, peer code review, and staging validation prior to production deployment.</w:t>
        <w:br/>
        <w:t>2.2 Acceptable Use Enforcement. Users and integrated systems are prohibited from introducing malicious code, bypassing rate limiters, conducting unauthorized load testing, or interfering with multi-tenant workload scheduling.</w:t>
        <w:br/>
        <w:t>2.3 Continuous Telemetry. Operator maintains 24x7x365 automated health checks across compute nodes, message queues, and storage arrays with real-time alerting to the Network Operations Center (NOC).</w:t>
      </w:r>
    </w:p>
    <w:p>
      <w:pPr>
        <w:spacing w:after="120" w:line="276" w:lineRule="auto"/>
      </w:pPr>
      <w:r>
        <w:rPr>
          <w:sz w:val="22"/>
        </w:rPr>
        <w:t>3. BUSINESS CONTINUITY, ACCESS RECERTIFICATION, AND EXCEPTION GOVERNANCE</w:t>
        <w:br/>
        <w:t>3.1 Verified Resilience and Exception Controls. Operator maintains active-active multi-region failover with a verified Recovery Time Objective (RTO) of 6 hours and Recovery Point Objective (RPO) of 2 hours tested semi-annually, enforces quarterly access recertification, and requires dual CISO and VP approval for time-bound policy exceptions capped at fourteen (14) days.</w:t>
        <w:br/>
        <w:t>3.2 Tiered Incident Escalation Matrix. Severity-1 operational outages trigger immediate paging to the on-call Incident Commander within five (5) minutes, executive bridge mobilization within fifteen (15) minutes, and customer status updates every thirty (30) minutes until full restoration.</w:t>
        <w:br/>
        <w:t>3.3 Post-Incident Review (PIR). Within five (5) business days of resolving any Severity-1 or Severity-2 event, Operator delivers a written root-cause analysis and tracked corrective action plan to BlueRidge Civic Credit Union.</w:t>
      </w:r>
    </w:p>
    <w:p>
      <w:pPr>
        <w:spacing w:after="120" w:line="276" w:lineRule="auto"/>
      </w:pPr>
      <w:r>
        <w:rPr>
          <w:sz w:val="22"/>
        </w:rPr>
        <w:t>4. PRIVILEGED ACCESS, OFFBOARDING, AND ANNUAL EXERCISES</w:t>
        <w:br/>
        <w:t>4.1 Joiner-Mover-Leaver Controls. Employee and contractor access privileges are provisioned strictly on a least-privilege role basis and revoked automatically within one (1) hour of termination or role transfer.</w:t>
        <w:br/>
        <w:t>4.2 Tabletop and Failover Drills. Operator conducts full regional evacuation and database failover drills twice annually and shares executive test results with enterprise customers upon request.</w:t>
      </w:r>
    </w:p>
    <w:p>
      <w:pPr>
        <w:spacing w:after="120" w:line="276" w:lineRule="auto"/>
      </w:pPr>
      <w:r>
        <w:rPr>
          <w:sz w:val="22"/>
        </w:rPr>
        <w:t>5. DOCUMENT GOVERNANCE AND OPERATIONAL CONTACTS</w:t>
        <w:br/>
        <w:t>5.1 Operational Control Reference. This document is tracked under Control ID DG-OPE-2025-0186 (Version 2.4) by the Office of Operations Governance at Vanguard Telemetry Systems LLC, 285 Fulton Street, Floor 42, New York, NY 10007.</w:t>
        <w:br/>
        <w:t>5.2 Effective Date. Approved and placed into operational effect as of 2025-02-21.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