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highlight w:val="yellow"/>
        </w:rPr>
        <w:t xml:space="preserve">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highlight w:val="yellow"/>
        </w:rPr>
        <w:t xml:space="preserve">All final coded datasets, raw data files, and codebooks are archived on the project repository. Engagement data files are in Research Assets/Engagement Metrics/ and include: twitter post engagement.xlsx (203 Nigeria X posts), youtube video metrics.xlsx (9 videos, Nigeria and Kenya), and Engagement ContentAnalysis Merged.xlsx (coded variables joined to engagement figures). Repository: </w:t>
      </w:r>
      <w:hyperlink r:id="rId39">
        <w:r>
          <w:rPr>
            <w:color w:val="0563c1"/>
            <w:u w:val="single"/>
            <w:rtl w:val="0"/>
          </w:rPr>
          <w:t xml:space="preserve">GitHub: 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Exploratory LLM Findings (Google Doc)</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highlight w:val="yellow"/>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highlight w:val="yellow"/>
        </w:rPr>
        <w:t xml:space="preserve">Figure 4. Summary of human-human exact agreement and Human-LLM Krippendorff α (category-based)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highlight w:val="yellow"/>
        </w:rPr>
      </w:pPr>
      <w:r>
        <w:rPr>
          <w:b w:val="1"/>
          <w:highlight w:val="yellow"/>
        </w:rPr>
        <w:t xml:space="preserve">Exploratory LLM Analysis</w:t>
      </w:r>
    </w:p>
    <w:p w14: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consistent with framing theory's distinction between problem definition and solution prescription (Entman, 1993).</w:t>
      </w:r>
    </w:p>
    <w:p w14:paraId="FF00022">
      <w:pPr>
        <w:pStyle w:val="ListParagraph"/>
        <w:numPr>
          <w:ilvl w:val="0"/>
          <w:numId w:val="1"/>
        </w:numPr>
        <w:rPr>
          <w:highlight w:val="yellow"/>
        </w:rPr>
      </w:pPr>
      <w:r>
        <w:rPr>
          <w:b w:val="1"/>
          <w:highlight w:val="yellow"/>
        </w:rPr>
        <w:t xml:space="preserve">The Same Pressure Points Appear Across Orientations, the Direction of the Script Differs:</w:t>
      </w:r>
    </w:p>
    <w:p w14:paraId="FF00023">
      <w:pPr>
        <w:pStyle w:val="ListParagraph"/>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highlight w:val="yellow"/>
        </w:rPr>
      </w:pPr>
      <w:r>
        <w:rPr>
          <w:highlight w:val="yellow"/>
        </w:rPr>
        <w:t xml:space="preserve">Provider role and economic pressure: present in 41.3% of Nigeria snippets and 38.1% of Kenya snippets, the single most cross-cutting entry point across orientation and country.</w:t>
      </w:r>
    </w:p>
    <w:p w14:paraId="FF00025">
      <w:pPr>
        <w:pStyle w:val="ListParagraph"/>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fear of infidelity, false accusation, marriage exit, to naturalise hierarchical gender arrangements. Progressive creators address the same anxieties but frame them as shared problems requiring mutual negotiation.</w:t>
      </w:r>
    </w:p>
    <w:p w14:paraId="FF00026">
      <w:pPr>
        <w:pStyle w:val="ListParagraph"/>
        <w:numPr>
          <w:ilvl w:val="0"/>
          <w:numId w:val="1"/>
        </w:numPr>
        <w:rPr>
          <w:highlight w:val="yellow"/>
        </w:rPr>
      </w:pPr>
      <w:r>
        <w:rPr>
          <w:b w:val="1"/>
          <w:highlight w:val="yellow"/>
        </w:rPr>
        <w:t xml:space="preserve">Where Progressive and Regressive Scripts Diverge:</w:t>
      </w:r>
    </w:p>
    <w:p w14:paraId="FF00027">
      <w:pPr>
        <w:pStyle w:val="ListParagraph"/>
        <w:numPr>
          <w:ilvl w:val="0"/>
          <w:numId w:val="1"/>
        </w:numPr>
        <w:rPr>
          <w:highlight w:val="yellow"/>
        </w:rPr>
      </w:pPr>
      <w:r>
        <w:rPr>
          <w:highlight w:val="yellow"/>
        </w:rPr>
        <w:t xml:space="preserve">Progressive solution set: self-reflection, healing, accountability, care, shared responsibility, community repair.</w:t>
      </w:r>
    </w:p>
    <w:p w14:paraId="FF00028">
      <w:pPr>
        <w:pStyle w:val="ListParagraph"/>
        <w:numPr>
          <w:ilvl w:val="0"/>
          <w:numId w:val="1"/>
        </w:numPr>
        <w:rPr>
          <w:highlight w:val="yellow"/>
        </w:rPr>
      </w:pPr>
      <w:r>
        <w:rPr>
          <w:highlight w:val="yellow"/>
        </w:rPr>
        <w:t xml:space="preserve">Regressive solution set: hierarchy, control, withdrawal, dominance, sexual entitlement, women-blaming, anti-feminist grievance.</w:t>
      </w:r>
    </w:p>
    <w:p w14:paraId="FF00029">
      <w:pPr>
        <w:pStyle w:val="ListParagraph"/>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highlight w:val="yellow"/>
        </w:rPr>
      </w:pPr>
      <w:r>
        <w:rPr>
          <w:highlight w:val="yellow"/>
        </w:rPr>
        <w:t xml:space="preserve">Fatherhood and parenting: almost entirely in progressive content,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highlight w:val="yellow"/>
        </w:rPr>
      </w:pPr>
      <w:r>
        <w:rPr>
          <w:b w:val="1"/>
          <w:highlight w:val="yellow"/>
        </w:rPr>
        <w:t xml:space="preserve">Program Design Implication, Entry Point Alignment Is Necessary but Not Sufficient:</w:t>
      </w:r>
    </w:p>
    <w:p w14:paraId="FF0002C">
      <w:pPr>
        <w:pStyle w:val="ListParagraph"/>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acknowledging the costs of normative expectations, entertaining emotional complexity, and occasionally soliciting vulnerability. Regressive content produces a discourse of strategic masculinity, treating gender relations as a competitive arena governed by legible rules.</w:t>
      </w:r>
    </w:p>
    <w:p w14:paraId="FF0002E">
      <w:pPr>
        <w:pStyle w:val="ListParagraph"/>
        <w:numPr>
          <w:ilvl w:val="0"/>
          <w:numId w:val="1"/>
        </w:numPr>
        <w:rPr>
          <w:highlight w:val="yellow"/>
        </w:rPr>
      </w:pPr>
      <w:r>
        <w:rPr>
          <w:b w:val="1"/>
          <w:highlight w:val="yellow"/>
        </w:rPr>
        <w:t xml:space="preserve">Nigeria Content Corpus, Key Coded Findings:</w:t>
      </w:r>
    </w:p>
    <w:p w14:paraId="FF0002F">
      <w:pPr>
        <w:pStyle w:val="ListParagraph"/>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care vs entitlement.</w:t>
      </w:r>
    </w:p>
    <w:p w14:paraId="FF00030">
      <w:pPr>
        <w:pStyle w:val="ListParagraph"/>
        <w:numPr>
          <w:ilvl w:val="0"/>
          <w:numId w:val="1"/>
        </w:numPr>
        <w:rPr>
          <w:highlight w:val="yellow"/>
        </w:rPr>
      </w:pPr>
      <w:r>
        <w:rPr>
          <w:highlight w:val="yellow"/>
        </w:rPr>
        <w:t xml:space="preserve">Relationship and gender-dynamic themes: 167 snippets (53.9%), with a stark split, 71.7% regressive vs 31.4% progressive. This is the primary site where orientation divergence is most visible.</w:t>
      </w:r>
    </w:p>
    <w:p w14:paraId="FF00031">
      <w:pPr>
        <w:pStyle w:val="ListParagraph"/>
        <w:numPr>
          <w:ilvl w:val="0"/>
          <w:numId w:val="1"/>
        </w:numPr>
        <w:rPr>
          <w:highlight w:val="yellow"/>
        </w:rPr>
      </w:pPr>
      <w:r>
        <w:rPr>
          <w:highlight w:val="yellow"/>
        </w:rPr>
        <w:t xml:space="preserve">Emotional expression: 46 snippets (14.8%), concentrated in progressive content (25.5% vs 6.4% regressive), the sharpest orientation gap of any single theme.</w:t>
      </w:r>
    </w:p>
    <w:p w14:paraId="FF00032">
      <w:pPr>
        <w:pStyle w:val="ListParagraph"/>
        <w:numPr>
          <w:ilvl w:val="0"/>
          <w:numId w:val="1"/>
        </w:numPr>
        <w:rPr>
          <w:highlight w:val="yellow"/>
        </w:rPr>
      </w:pPr>
      <w:r>
        <w:rPr>
          <w:highlight w:val="yellow"/>
        </w:rPr>
        <w:t xml:space="preserve">Fatherhood: 44 snippets (14.2%), almost entirely progressive (30.7% vs 1.2% regressive).</w:t>
      </w:r>
    </w:p>
    <w:p w14:paraId="FF00033">
      <w:pPr>
        <w:pStyle w:val="ListParagraph"/>
        <w:numPr>
          <w:ilvl w:val="0"/>
          <w:numId w:val="1"/>
        </w:numPr>
        <w:rPr>
          <w:highlight w:val="yellow"/>
        </w:rPr>
      </w:pPr>
      <w:r>
        <w:rPr>
          <w:b w:val="1"/>
          <w:highlight w:val="yellow"/>
        </w:rPr>
        <w:t xml:space="preserve">Creator-Level Signals for Program Design:</w:t>
      </w:r>
    </w:p>
    <w:p w14:paraId="FF00034">
      <w:pPr>
        <w:pStyle w:val="ListParagraph"/>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including financial transparency in marriage, critique of the provider burden, and theological interrogation of scriptures weaponized to pressure men.</w:t>
      </w:r>
    </w:p>
    <w:p w14:paraId="FF00035">
      <w:pPr>
        <w:pStyle w:val="ListParagraph"/>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highlight w:val="yellow"/>
        </w:rPr>
      </w:pPr>
      <w:r>
        <w:rPr>
          <w:highlight w:val="yellow"/>
        </w:rPr>
        <w:t xml:space="preserve">Ebuka Obi-Uchendu (37 snippets): Leads on provider burden (65%; 24/37) in longform podcast discussion, highest concentration of provision-themed content of any single creator.</w:t>
      </w:r>
    </w:p>
    <w:p w14:paraId="FF00037">
      <w:pPr>
        <w:pStyle w:val="ListParagraph"/>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engaging trauma, mental health, paternal responsibility, and structural gender violence at depth.</w:t>
      </w:r>
    </w:p>
    <w:p w14:paraId="FF0003A">
      <w:pPr>
        <w:pStyle w:val="ListParagraph"/>
        <w:numPr>
          <w:ilvl w:val="0"/>
          <w:numId w:val="1"/>
        </w:numPr>
        <w:rPr>
          <w:highlight w:val="yellow"/>
        </w:rPr>
      </w:pPr>
      <w:r>
        <w:rPr>
          <w:b w:val="1"/>
          <w:highlight w:val="yellow"/>
        </w:rPr>
        <w:t xml:space="preserve">Progressive Creator Signals, Kenya:</w:t>
      </w:r>
    </w:p>
    <w:p w14:paraId="FF0003B">
      <w:pPr>
        <w:pStyle w:val="ListParagraph"/>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highlight w:val="yellow"/>
        </w:rPr>
      </w:pPr>
      <w:r>
        <w:rPr>
          <w:highlight w:val="yellow"/>
        </w:rPr>
        <w:t xml:space="preserve">Eddy Kimani (65 snippets): Performs radical public vulnerability,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a structural framing absent from Nigerian progressive content.</w:t>
      </w:r>
    </w:p>
    <w:p w14:paraId="FF0003E">
      <w:pPr>
        <w:pStyle w:val="ListParagraph"/>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highlight w:val="yellow"/>
        </w:rPr>
      </w:pPr>
      <w:r>
        <w:rPr>
          <w:b w:val="1"/>
          <w:highlight w:val="yellow"/>
        </w:rPr>
        <w:t xml:space="preserve">Regressive Creator Framing, Kenya:</w:t>
      </w:r>
    </w:p>
    <w:p w14:paraId="FF00040">
      <w:pPr>
        <w:pStyle w:val="ListParagraph"/>
        <w:numPr>
          <w:ilvl w:val="0"/>
          <w:numId w:val="1"/>
        </w:numPr>
        <w:rPr>
          <w:highlight w:val="yellow"/>
        </w:rPr>
      </w:pPr>
      <w:r>
        <w:rPr>
          <w:highlight w:val="yellow"/>
        </w:rPr>
        <w:t xml:space="preserve">Amerix / Eric Amunga (97 snippets): Builds a complete ontological framework, including denial of female romantic love, a territorial model of male sexuality, and hierarchical theology positioning domestic labour as incompatible with masculine dignity. Carries hostile misogyny (Glick and Fiske, 1996) in 48% of coded snippets,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responsive to specific controversies rather than constructing a coherent ideological architecture.</w:t>
      </w:r>
    </w:p>
    <w:p w14:paraId="FF00042">
      <w:pPr>
        <w:pStyle w:val="ListParagraph"/>
        <w:numPr>
          <w:ilvl w:val="0"/>
          <w:numId w:val="1"/>
        </w:numPr>
        <w:rPr>
          <w:highlight w:val="yellow"/>
        </w:rPr>
      </w:pPr>
      <w:r>
        <w:rPr>
          <w:b w:val="1"/>
          <w:highlight w:val="yellow"/>
        </w:rPr>
        <w:t xml:space="preserve">High-Priority Kenya Intervention Signal:</w:t>
      </w:r>
    </w:p>
    <w:p w14:paraId="FF00043">
      <w:pPr>
        <w:pStyle w:val="ListParagraph"/>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highlight w:val="yellow"/>
        </w:rPr>
      </w:pPr>
      <w:r>
        <w:rPr>
          <w:b w:val="1"/>
          <w:highlight w:val="yellow"/>
        </w:rPr>
        <w:t xml:space="preserve">3.4 Focused LLM Coding Results</w:t>
      </w:r>
    </w:p>
    <w:p w14: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w14:paraId="00AA0001">
      <w:pPr>
        <w:rPr>
          <w:highlight w:val="yellow"/>
        </w:rPr>
      </w:pPr>
      <w:r>
        <w:rPr>
          <w:i w:val="1"/>
          <w:highlight w:val="yellow"/>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highlight w:val="yellow"/>
              </w:rPr>
            </w:pPr>
            <w:r>
              <w:rPr>
                <w:b w:val="1"/>
                <w:highlight w:val="yellow"/>
              </w:rPr>
              <w:t xml:space="preserve">Q#</w:t>
            </w:r>
          </w:p>
        </w:tc>
        <w:tc>
          <w:tcPr>
            <w:tcW w:w="2200" w:type="dxa"/>
            <w:shd w:val="clear" w:color="auto" w:fill="D9E1F2"/>
          </w:tcPr>
          <w:p w14:paraId="01867C5">
            <w:pPr>
              <w:rPr>
                <w:highlight w:val="yellow"/>
              </w:rPr>
            </w:pPr>
            <w:r>
              <w:rPr>
                <w:b w:val="1"/>
                <w:highlight w:val="yellow"/>
              </w:rPr>
              <w:t xml:space="preserve">Question</w:t>
            </w:r>
          </w:p>
        </w:tc>
        <w:tc>
          <w:tcPr>
            <w:tcW w:w="3100" w:type="dxa"/>
            <w:shd w:val="clear" w:color="auto" w:fill="D9E1F2"/>
          </w:tcPr>
          <w:p w14:paraId="07CFAE4">
            <w:pPr>
              <w:rPr>
                <w:highlight w:val="yellow"/>
              </w:rPr>
            </w:pPr>
            <w:r>
              <w:rPr>
                <w:b w:val="1"/>
                <w:highlight w:val="yellow"/>
              </w:rPr>
              <w:t xml:space="preserve">Nigeria (key finding)</w:t>
            </w:r>
          </w:p>
        </w:tc>
        <w:tc>
          <w:tcPr>
            <w:tcW w:w="3100" w:type="dxa"/>
            <w:shd w:val="clear" w:color="auto" w:fill="D9E1F2"/>
          </w:tcPr>
          <w:p w14:paraId="00EE232">
            <w:pPr>
              <w:rPr>
                <w:highlight w:val="yellow"/>
              </w:rPr>
            </w:pPr>
            <w:r>
              <w:rPr>
                <w:b w:val="1"/>
                <w:highlight w:val="yellow"/>
              </w:rPr>
              <w:t xml:space="preserve">Kenya (key finding)</w:t>
            </w:r>
          </w:p>
        </w:tc>
      </w:tr>
      <w:tr>
        <w:trPr/>
        <w:tc>
          <w:tcPr>
            <w:tcW w:w="500" w:type="dxa"/>
          </w:tcPr>
          <w:p w14:paraId="058283B">
            <w:pPr>
              <w:rPr>
                <w:highlight w:val="yellow"/>
              </w:rPr>
            </w:pPr>
            <w:r>
              <w:rPr>
                <w:highlight w:val="yellow"/>
              </w:rPr>
              <w:t xml:space="preserve">Q1</w:t>
            </w:r>
          </w:p>
        </w:tc>
        <w:tc>
          <w:tcPr>
            <w:tcW w:w="2200" w:type="dxa"/>
          </w:tcPr>
          <w:p w14:paraId="04FE98A">
            <w:pPr>
              <w:rPr>
                <w:highlight w:val="yellow"/>
              </w:rPr>
            </w:pPr>
            <w:r>
              <w:rPr>
                <w:highlight w:val="yellow"/>
              </w:rPr>
              <w:t xml:space="preserve">Attention-getter present</w:t>
            </w:r>
          </w:p>
        </w:tc>
        <w:tc>
          <w:tcPr>
            <w:tcW w:w="3100" w:type="dxa"/>
          </w:tcPr>
          <w:p w14:paraId="04E84FF">
            <w:pPr>
              <w:rPr>
                <w:highlight w:val="yellow"/>
              </w:rPr>
            </w:pPr>
            <w:r>
              <w:rPr>
                <w:highlight w:val="yellow"/>
              </w:rPr>
              <w:t xml:space="preserve">Yes 29.4%; top strategy: sharing something sexual (18.9% of Q1=Yes)</w:t>
            </w:r>
          </w:p>
        </w:tc>
        <w:tc>
          <w:tcPr>
            <w:tcW w:w="3100" w:type="dxa"/>
          </w:tcPr>
          <w:p w14:paraId="04CC550">
            <w:pPr>
              <w:rPr>
                <w:highlight w:val="yellow"/>
              </w:rPr>
            </w:pPr>
            <w:r>
              <w:rPr>
                <w:highlight w:val="yellow"/>
              </w:rPr>
              <w:t xml:space="preserve">Yes 36.7%; top strategy: sharing something surprising (31.8% of Q1=Yes)</w:t>
            </w:r>
          </w:p>
        </w:tc>
      </w:tr>
      <w:tr>
        <w:trPr/>
        <w:tc>
          <w:tcPr>
            <w:tcW w:w="500" w:type="dxa"/>
          </w:tcPr>
          <w:p w14:paraId="007E961">
            <w:pPr>
              <w:rPr>
                <w:highlight w:val="yellow"/>
              </w:rPr>
            </w:pPr>
            <w:r>
              <w:rPr>
                <w:highlight w:val="yellow"/>
              </w:rPr>
              <w:t xml:space="preserve">Q2</w:t>
            </w:r>
          </w:p>
        </w:tc>
        <w:tc>
          <w:tcPr>
            <w:tcW w:w="2200" w:type="dxa"/>
          </w:tcPr>
          <w:p w14:paraId="0261B07">
            <w:pPr>
              <w:rPr>
                <w:highlight w:val="yellow"/>
              </w:rPr>
            </w:pPr>
            <w:r>
              <w:rPr>
                <w:highlight w:val="yellow"/>
              </w:rPr>
              <w:t xml:space="preserve">Primary topic</w:t>
            </w:r>
          </w:p>
        </w:tc>
        <w:tc>
          <w:tcPr>
            <w:tcW w:w="3100" w:type="dxa"/>
          </w:tcPr>
          <w:p w14:paraId="06FAC72">
            <w:pPr>
              <w:rPr>
                <w:highlight w:val="yellow"/>
              </w:rPr>
            </w:pPr>
            <w:r>
              <w:rPr>
                <w:highlight w:val="yellow"/>
              </w:rPr>
              <w:t xml:space="preserve">Dating/marriage 33.9% (leading topic)</w:t>
            </w:r>
          </w:p>
        </w:tc>
        <w:tc>
          <w:tcPr>
            <w:tcW w:w="3100" w:type="dxa"/>
          </w:tcPr>
          <w:p w14:paraId="06522F4">
            <w:pPr>
              <w:rPr>
                <w:highlight w:val="yellow"/>
              </w:rPr>
            </w:pPr>
            <w:r>
              <w:rPr>
                <w:highlight w:val="yellow"/>
              </w:rPr>
              <w:t xml:space="preserve">Dating/marriage 15.0%; mental health 7.8%; gender equality 7.8%</w:t>
            </w:r>
          </w:p>
        </w:tc>
      </w:tr>
      <w:tr>
        <w:trPr/>
        <w:tc>
          <w:tcPr>
            <w:tcW w:w="500" w:type="dxa"/>
          </w:tcPr>
          <w:p w14:paraId="0563A6F">
            <w:pPr>
              <w:rPr>
                <w:highlight w:val="yellow"/>
              </w:rPr>
            </w:pPr>
            <w:r>
              <w:rPr>
                <w:highlight w:val="yellow"/>
              </w:rPr>
              <w:t xml:space="preserve">Q4</w:t>
            </w:r>
          </w:p>
        </w:tc>
        <w:tc>
          <w:tcPr>
            <w:tcW w:w="2200" w:type="dxa"/>
          </w:tcPr>
          <w:p w14:paraId="0562884">
            <w:pPr>
              <w:rPr>
                <w:highlight w:val="yellow"/>
              </w:rPr>
            </w:pPr>
            <w:r>
              <w:rPr>
                <w:highlight w:val="yellow"/>
              </w:rPr>
              <w:t xml:space="preserve">Addresses masculinity/gender norms</w:t>
            </w:r>
          </w:p>
        </w:tc>
        <w:tc>
          <w:tcPr>
            <w:tcW w:w="3100" w:type="dxa"/>
          </w:tcPr>
          <w:p w14:paraId="07E4560">
            <w:pPr>
              <w:rPr>
                <w:highlight w:val="yellow"/>
              </w:rPr>
            </w:pPr>
            <w:r>
              <w:rPr>
                <w:highlight w:val="yellow"/>
              </w:rPr>
              <w:t xml:space="preserve">Yes explicitly 37.8%; Yes implicitly 32.8%; No 29.4%</w:t>
            </w:r>
          </w:p>
        </w:tc>
        <w:tc>
          <w:tcPr>
            <w:tcW w:w="3100" w:type="dxa"/>
          </w:tcPr>
          <w:p w14:paraId="01A7829">
            <w:pPr>
              <w:rPr>
                <w:highlight w:val="yellow"/>
              </w:rPr>
            </w:pPr>
            <w:r>
              <w:rPr>
                <w:highlight w:val="yellow"/>
              </w:rPr>
              <w:t xml:space="preserve">Yes explicitly 54.4%; Yes implicitly 23.3%; No 22.2%</w:t>
            </w:r>
          </w:p>
        </w:tc>
      </w:tr>
      <w:tr>
        <w:trPr/>
        <w:tc>
          <w:tcPr>
            <w:tcW w:w="500" w:type="dxa"/>
          </w:tcPr>
          <w:p w14:paraId="07C66B0">
            <w:pPr>
              <w:rPr>
                <w:highlight w:val="yellow"/>
              </w:rPr>
            </w:pPr>
            <w:r>
              <w:rPr>
                <w:highlight w:val="yellow"/>
              </w:rPr>
              <w:t xml:space="preserve">Q5</w:t>
            </w:r>
          </w:p>
        </w:tc>
        <w:tc>
          <w:tcPr>
            <w:tcW w:w="2200" w:type="dxa"/>
          </w:tcPr>
          <w:p w14:paraId="017CA15">
            <w:pPr>
              <w:rPr>
                <w:highlight w:val="yellow"/>
              </w:rPr>
            </w:pPr>
            <w:r>
              <w:rPr>
                <w:highlight w:val="yellow"/>
              </w:rPr>
              <w:t xml:space="preserve">Type of masculinity framing</w:t>
            </w:r>
          </w:p>
        </w:tc>
        <w:tc>
          <w:tcPr>
            <w:tcW w:w="3100" w:type="dxa"/>
          </w:tcPr>
          <w:p w14:paraId="012C3B2">
            <w:pPr>
              <w:rPr>
                <w:highlight w:val="yellow"/>
              </w:rPr>
            </w:pPr>
            <w:r>
              <w:rPr>
                <w:highlight w:val="yellow"/>
              </w:rPr>
              <w:t xml:space="preserve">Regressive 36.7%; Does not address 29.4%; Progressive 21.7%</w:t>
            </w:r>
          </w:p>
        </w:tc>
        <w:tc>
          <w:tcPr>
            <w:tcW w:w="3100" w:type="dxa"/>
          </w:tcPr>
          <w:p w14:paraId="0657EC2">
            <w:pPr>
              <w:rPr>
                <w:highlight w:val="yellow"/>
              </w:rPr>
            </w:pPr>
            <w:r>
              <w:rPr>
                <w:highlight w:val="yellow"/>
              </w:rPr>
              <w:t xml:space="preserve">Regressive 47.8%; Does not address 22.2%; Progressive 20.0%</w:t>
            </w:r>
          </w:p>
        </w:tc>
      </w:tr>
      <w:tr>
        <w:trPr/>
        <w:tc>
          <w:tcPr>
            <w:tcW w:w="500" w:type="dxa"/>
          </w:tcPr>
          <w:p w14:paraId="06B13F0">
            <w:pPr>
              <w:rPr>
                <w:highlight w:val="yellow"/>
              </w:rPr>
            </w:pPr>
            <w:r>
              <w:rPr>
                <w:highlight w:val="yellow"/>
              </w:rPr>
              <w:t xml:space="preserve">Q6</w:t>
            </w:r>
          </w:p>
        </w:tc>
        <w:tc>
          <w:tcPr>
            <w:tcW w:w="2200" w:type="dxa"/>
          </w:tcPr>
          <w:p w14:paraId="06EF821">
            <w:pPr>
              <w:rPr>
                <w:highlight w:val="yellow"/>
              </w:rPr>
            </w:pPr>
            <w:r>
              <w:rPr>
                <w:highlight w:val="yellow"/>
              </w:rPr>
              <w:t xml:space="preserve">Prescriptive directive for men</w:t>
            </w:r>
          </w:p>
        </w:tc>
        <w:tc>
          <w:tcPr>
            <w:tcW w:w="3100" w:type="dxa"/>
          </w:tcPr>
          <w:p w14:paraId="06C0427">
            <w:pPr>
              <w:rPr>
                <w:highlight w:val="yellow"/>
              </w:rPr>
            </w:pPr>
            <w:r>
              <w:rPr>
                <w:highlight w:val="yellow"/>
              </w:rPr>
              <w:t xml:space="preserve">Yes 28.3%; Not applicable 29.4%; No 25.0%</w:t>
            </w:r>
          </w:p>
        </w:tc>
        <w:tc>
          <w:tcPr>
            <w:tcW w:w="3100" w:type="dxa"/>
          </w:tcPr>
          <w:p w14:paraId="00E6B02">
            <w:pPr>
              <w:rPr>
                <w:highlight w:val="yellow"/>
              </w:rPr>
            </w:pPr>
            <w:r>
              <w:rPr>
                <w:highlight w:val="yellow"/>
              </w:rPr>
              <w:t xml:space="preserve">Yes 45.0%; No 28.9%; Not applicable 22.2%</w:t>
            </w:r>
          </w:p>
        </w:tc>
      </w:tr>
      <w:tr>
        <w:trPr/>
        <w:tc>
          <w:tcPr>
            <w:tcW w:w="500" w:type="dxa"/>
          </w:tcPr>
          <w:p w14:paraId="02752BE">
            <w:pPr>
              <w:rPr>
                <w:highlight w:val="yellow"/>
              </w:rPr>
            </w:pPr>
            <w:r>
              <w:rPr>
                <w:highlight w:val="yellow"/>
              </w:rPr>
              <w:t xml:space="preserve">Q9</w:t>
            </w:r>
          </w:p>
        </w:tc>
        <w:tc>
          <w:tcPr>
            <w:tcW w:w="2200" w:type="dxa"/>
          </w:tcPr>
          <w:p w14:paraId="0738381">
            <w:pPr>
              <w:rPr>
                <w:highlight w:val="yellow"/>
              </w:rPr>
            </w:pPr>
            <w:r>
              <w:rPr>
                <w:highlight w:val="yellow"/>
              </w:rPr>
              <w:t xml:space="preserve">Solution proposed</w:t>
            </w:r>
          </w:p>
        </w:tc>
        <w:tc>
          <w:tcPr>
            <w:tcW w:w="3100" w:type="dxa"/>
          </w:tcPr>
          <w:p w14:paraId="0058890">
            <w:pPr>
              <w:rPr>
                <w:highlight w:val="yellow"/>
              </w:rPr>
            </w:pPr>
            <w:r>
              <w:rPr>
                <w:highlight w:val="yellow"/>
              </w:rPr>
              <w:t xml:space="preserve">No clear solution 56.1%; emotional growth/healing 5.6%</w:t>
            </w:r>
          </w:p>
        </w:tc>
        <w:tc>
          <w:tcPr>
            <w:tcW w:w="3100" w:type="dxa"/>
          </w:tcPr>
          <w:p w14:paraId="05024A5">
            <w:pPr>
              <w:rPr>
                <w:highlight w:val="yellow"/>
              </w:rPr>
            </w:pPr>
            <w:r>
              <w:rPr>
                <w:highlight w:val="yellow"/>
              </w:rPr>
              <w:t xml:space="preserve">No clear solution 41.1%; assert dominance/control 12.8%; emotional growth 8.3%</w:t>
            </w:r>
          </w:p>
        </w:tc>
      </w:tr>
      <w:tr>
        <w:trPr/>
        <w:tc>
          <w:tcPr>
            <w:tcW w:w="500" w:type="dxa"/>
          </w:tcPr>
          <w:p w14:paraId="0349DE7">
            <w:pPr>
              <w:rPr>
                <w:highlight w:val="yellow"/>
              </w:rPr>
            </w:pPr>
            <w:r>
              <w:rPr>
                <w:highlight w:val="yellow"/>
              </w:rPr>
              <w:t xml:space="preserve">Q10</w:t>
            </w:r>
          </w:p>
        </w:tc>
        <w:tc>
          <w:tcPr>
            <w:tcW w:w="2200" w:type="dxa"/>
          </w:tcPr>
          <w:p w14:paraId="018228B">
            <w:pPr>
              <w:rPr>
                <w:highlight w:val="yellow"/>
              </w:rPr>
            </w:pPr>
            <w:r>
              <w:rPr>
                <w:highlight w:val="yellow"/>
              </w:rPr>
              <w:t xml:space="preserve">Communication mode</w:t>
            </w:r>
          </w:p>
        </w:tc>
        <w:tc>
          <w:tcPr>
            <w:tcW w:w="3100" w:type="dxa"/>
          </w:tcPr>
          <w:p w14:paraId="03C41BA">
            <w:pPr>
              <w:rPr>
                <w:highlight w:val="yellow"/>
              </w:rPr>
            </w:pPr>
            <w:r>
              <w:rPr>
                <w:highlight w:val="yellow"/>
              </w:rPr>
              <w:t xml:space="preserve">Commentary/opinion 45.6%</w:t>
            </w:r>
          </w:p>
        </w:tc>
        <w:tc>
          <w:tcPr>
            <w:tcW w:w="3100" w:type="dxa"/>
          </w:tcPr>
          <w:p w14:paraId="05D44A7">
            <w:pPr>
              <w:rPr>
                <w:highlight w:val="yellow"/>
              </w:rPr>
            </w:pPr>
            <w:r>
              <w:rPr>
                <w:highlight w:val="yellow"/>
              </w:rPr>
              <w:t xml:space="preserve">Commentary/opinion 25.0%; personal story 16.1%</w:t>
            </w:r>
          </w:p>
        </w:tc>
      </w:tr>
    </w:tbl>
    <w:p w14:paraId="02A3F54">
      <w:pPr>
        <w:rPr>
          <w:highlight w:val="yellow"/>
        </w:rPr>
      </w:pPr>
      <w:r>
        <w:rPr>
          <w:highlight w:val="yellow"/>
        </w:rPr>
        <w:t xml:space="preserve"/>
      </w:r>
    </w:p>
    <w:p w14:paraId="00AB00F0">
      <w:pPr>
        <w:pStyle w:val="Heading2"/>
        <w:rPr>
          <w:highlight w:val="yellow"/>
        </w:rPr>
      </w:pPr>
      <w:r>
        <w:rPr>
          <w:b w:val="1"/>
          <w:highlight w:val="yellow"/>
        </w:rPr>
        <w:t xml:space="preserve">3.5 Focused Human Coding Results</w:t>
      </w:r>
    </w:p>
    <w:p w14: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w14:paraId="00CC0002">
      <w:pPr>
        <w:rPr>
          <w:highlight w:val="yellow"/>
        </w:rPr>
      </w:pPr>
      <w:r>
        <w:rPr>
          <w:b w:val="1"/>
          <w:highlight w:val="yellow"/>
        </w:rPr>
        <w:t xml:space="preserve">What Human Coders Found That LLM Missed:</w:t>
      </w:r>
    </w:p>
    <w:p w14:paraId="00CC0003">
      <w:pPr>
        <w:pStyle w:val="ListParagraph"/>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a tonal distinction that matters for measuring genuine norm endorsement vs audience engagement strategy.</w:t>
      </w:r>
    </w:p>
    <w:p w14:paraId="00CC0004">
      <w:pPr>
        <w:pStyle w:val="ListParagraph"/>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highlight w:val="yellow"/>
        </w:rPr>
      </w:pPr>
      <w:r>
        <w:rPr>
          <w:highlight w:val="yellow"/>
        </w:rPr>
        <w:t xml:space="preserve">Hybrid masculinity patterns: Human coders identified more instances of Bridges and Pascoe's (2014) hybrid masculinity, content combining progressive-sounding language (vulnerability, fatherhood) with underlying hierarchical or entitlement claims,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what content conspicuously did not acknowledge, as an ideological signal.</w:t>
      </w:r>
    </w:p>
    <w:p w14:paraId="00CC0007">
      <w:pPr>
        <w:pStyle w:val="ListParagraph"/>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highlight w:val="yellow"/>
        </w:rPr>
      </w:pPr>
      <w:r>
        <w:rPr>
          <w:highlight w:val="yellow"/>
        </w:rPr>
        <w:t xml:space="preserve">Full per-question distributions, coder-level files, and the master/intercoder reliability workbooks are in Codebooks/Human Codebooks/ on the project repository. Inter-rater reliability metrics are in Section 3.6.</w:t>
      </w:r>
    </w:p>
    <w:p w14: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high view or like counts can indicate controversy, curiosity, or algorithmic amplification as much as genuine agreement.</w:t>
      </w:r>
    </w:p>
    <w:p>
      <w:r>
        <w:rPr>
          <w:highlight w:val="yellow"/>
          <w:b/>
        </w:rPr>
        <w:t xml:space="preserve">Table E1. Nigeria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 xml:space="preserve">Wizarab</w:t>
            </w:r>
          </w:p>
        </w:tc>
        <w:tc>
          <w:tcPr>
            <w:tcW w:w="3200" w:type="dxa"/>
          </w:tcPr>
          <w:p>
            <w:r>
              <w:rPr>
                <w:highlight w:val="yellow"/>
              </w:rPr>
              <w:t xml:space="preserve">Sex Toys and Raping Young Boys</w:t>
            </w:r>
          </w:p>
        </w:tc>
        <w:tc>
          <w:tcPr>
            <w:tcW w:w="900" w:type="dxa"/>
          </w:tcPr>
          <w:p>
            <w:r>
              <w:rPr>
                <w:highlight w:val="yellow"/>
              </w:rPr>
              <w:t xml:space="preserve">13,052</w:t>
            </w:r>
          </w:p>
        </w:tc>
        <w:tc>
          <w:tcPr>
            <w:tcW w:w="900" w:type="dxa"/>
          </w:tcPr>
          <w:p>
            <w:r>
              <w:rPr>
                <w:highlight w:val="yellow"/>
              </w:rPr>
              <w:t xml:space="preserve">531</w:t>
            </w:r>
          </w:p>
        </w:tc>
        <w:tc>
          <w:tcPr>
            <w:tcW w:w="900" w:type="dxa"/>
          </w:tcPr>
          <w:p>
            <w:r>
              <w:rPr>
                <w:highlight w:val="yellow"/>
              </w:rPr>
              <w:t xml:space="preserve">2,402</w:t>
            </w:r>
          </w:p>
        </w:tc>
      </w:tr>
    </w:tbl>
    <w:p>
      <w:r>
        <w:rPr>
          <w:highlight w:val="yellow"/>
          <w:b/>
        </w:rPr>
        <w:t xml:space="preserve">Table E2. Nigeria YouTube (MENtality series),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t xml:space="preserve">Table E4. Kenya YouTube,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not available via API; comment-level data only captured.</w:t>
      </w:r>
    </w:p>
    <w:p w14:paraId="EE01B6C">
      <w:pPr>
        <w:rPr>
          <w:highlight w:val="yellow"/>
        </w:rPr>
      </w:pPr>
      <w:r>
        <w:rPr>
          <w:highlight w:val="yellow"/>
        </w:rPr>
        <w:t xml:space="preserve">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EE01B6D">
      <w:pPr>
        <w:rPr>
          <w:highlight w:val="yellow"/>
        </w:rPr>
      </w:pPr>
      <w:r>
        <w:rPr>
          <w:b w:val="1"/>
          <w:highlight w:val="yellow"/>
        </w:rPr>
        <w:t xml:space="preserve">Provision-Centered Longform Content Shows the Strongest Reach Signal</w:t>
      </w:r>
    </w:p>
    <w:p w14:paraId="EE01B6E">
      <w:pPr>
        <w:pStyle w:val="ListParagraph"/>
        <w:numPr>
          <w:ilvl w:val="0"/>
          <w:numId w:val="1"/>
        </w:numPr>
        <w:rPr>
          <w:highlight w:val="yellow"/>
        </w:rPr>
      </w:pPr>
      <w:r>
        <w:rPr>
          <w:highlight w:val="yellow"/>
        </w:rPr>
        <w:t xml:space="preserve">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EE01B6F">
      <w:pPr>
        <w:pStyle w:val="ListParagraph"/>
        <w:numPr>
          <w:ilvl w:val="0"/>
          <w:numId w:val="1"/>
        </w:numPr>
        <w:rPr>
          <w:highlight w:val="yellow"/>
        </w:rPr>
      </w:pPr>
      <w:r>
        <w:rPr>
          <w:highlight w:val="yellow"/>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highlight w:val="yellow"/>
        </w:rPr>
      </w:pPr>
      <w:r>
        <w:rPr>
          <w:b w:val="1"/>
          <w:highlight w:val="yellow"/>
        </w:rPr>
        <w:t xml:space="preserve">Orientation Alone Does Not Predict X/Twitter Engagement</w:t>
      </w:r>
    </w:p>
    <w:p w14:paraId="EE01B72">
      <w:pPr>
        <w:pStyle w:val="ListParagraph"/>
        <w:numPr>
          <w:ilvl w:val="0"/>
          <w:numId w:val="1"/>
        </w:numPr>
        <w:rPr>
          <w:highlight w:val="yellow"/>
        </w:rPr>
      </w:pPr>
      <w:r>
        <w:rPr>
          <w:highlight w:val="yellow"/>
        </w:rPr>
        <w:t xml:space="preserve">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EE01B73">
      <w:pPr>
        <w:pStyle w:val="ListParagraph"/>
        <w:numPr>
          <w:ilvl w:val="0"/>
          <w:numId w:val="1"/>
        </w:numPr>
        <w:rPr>
          <w:highlight w:val="yellow"/>
        </w:rPr>
      </w:pPr>
      <w:r>
        <w:rPr>
          <w:highlight w:val="yellow"/>
        </w:rPr>
        <w:t xml:space="preserve">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EE01B74">
      <w:pPr>
        <w:pStyle w:val="ListParagraph"/>
        <w:numPr>
          <w:ilvl w:val="0"/>
          <w:numId w:val="1"/>
        </w:numPr>
        <w:rPr>
          <w:highlight w:val="yellow"/>
        </w:rPr>
      </w:pPr>
      <w:r>
        <w:rPr>
          <w:highlight w:val="yellow"/>
        </w:rPr>
        <w:t xml:space="preserve">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EE01B75">
      <w:pPr>
        <w:pStyle w:val="ListParagraph"/>
        <w:numPr>
          <w:ilvl w:val="0"/>
          <w:numId w:val="1"/>
        </w:numPr>
        <w:rPr>
          <w:highlight w:val="yellow"/>
        </w:rPr>
      </w:pPr>
      <w:r>
        <w:rPr>
          <w:highlight w:val="yellow"/>
        </w:rPr>
        <w:t xml:space="preserve">These are exploratory but decision-relevant signals. Current data establish directional findings; current sampling will test effect stability.</w:t>
      </w:r>
    </w:p>
    <w:p w14:paraId="EE01B76">
      <w:pPr>
        <w:rPr>
          <w:highlight w:val="yellow"/>
        </w:rPr>
      </w:pPr>
      <w:r>
        <w:rPr>
          <w:b w:val="1"/>
          <w:highlight w:val="yellow"/>
        </w:rPr>
        <w:t xml:space="preserve">Platform Format Shapes Reach More Than Ideological Label</w:t>
      </w:r>
    </w:p>
    <w:p w14:paraId="EE01B77">
      <w:pPr>
        <w:pStyle w:val="ListParagraph"/>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 (Brady et al., 2017).</w:t>
      </w:r>
    </w:p>
    <w:p w14:paraId="EE01B78">
      <w:pPr>
        <w:pStyle w:val="ListParagraph"/>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w14:paraId="EE01B7A">
      <w:pPr>
        <w:rPr>
          <w:highlight w:val="yellow"/>
        </w:rPr>
      </w:pPr>
      <w:r>
        <w:rPr>
          <w:b w:val="1"/>
          <w:highlight w:val="yellow"/>
        </w:rPr>
        <w:t xml:space="preserve">Engagement Findings: Summary for Program Planning</w:t>
      </w:r>
    </w:p>
    <w:p w14:paraId="EE01B7B">
      <w:pPr>
        <w:pStyle w:val="ListParagraph"/>
        <w:numPr>
          <w:ilvl w:val="0"/>
          <w:numId w:val="1"/>
        </w:numPr>
        <w:rPr>
          <w:highlight w:val="yellow"/>
        </w:rPr>
      </w:pPr>
      <w:r>
        <w:rPr>
          <w:highlight w:val="yellow"/>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highlight w:val="yellow"/>
        </w:rPr>
      </w:pPr>
      <w:r>
        <w:rPr>
          <w:highlight w:val="yellow"/>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w14:paraId="EE01B7E">
      <w:pPr>
        <w:rPr>
          <w:highlight w:val="yellow"/>
        </w:rPr>
      </w:pPr>
      <w:r>
        <w:rPr>
          <w:highlight w:val="yellow"/>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highlight w:val="yellow"/>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3905869"/>
            <wp:effectExtent b="0" l="0" r="0" t="0"/>
            <wp:docPr id="901" name="02 Content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2 Content Alpha by Field Nigeria"/>
                    <pic:cNvPicPr/>
                  </pic:nvPicPr>
                  <pic:blipFill>
                    <a:blip r:embed="rId65"/>
                    <a:stretch>
                      <a:fillRect/>
                    </a:stretch>
                  </pic:blipFill>
                  <pic:spPr>
                    <a:xfrm>
                      <a:off x="0" y="0"/>
                      <a:ext cx="5748480" cy="3905869"/>
                    </a:xfrm>
                    <a:prstGeom prst="rect">
                      <a:avLst/>
                    </a:prstGeom>
                  </pic:spPr>
                </pic:pic>
              </a:graphicData>
            </a:graphic>
          </wp:inline>
        </w:drawing>
      </w:r>
    </w:p>
    <w:p>
      <w:pPr>
        <w:jc w:val="center"/>
        <w:rPr>
          <w:i/>
          <w:sz w:val="18"/>
        </w:rPr>
      </w:pPr>
      <w:r>
        <w:rPr>
          <w:i/>
          <w:sz w:val="18"/>
        </w:rPr>
        <w:rPr>
          <w:i/>
          <w:sz w:val="18"/>
          <w:highlight w:val="yellow"/>
        </w:rPr>
        <w:t xml:space="preserve">Figure 6. Krippendorff alpha by question field, Content track, Nigeria.</w:t>
      </w:r>
    </w:p>
    <w:p>
      <w:pPr>
        <w:jc w:val="center"/>
      </w:pPr>
      <w:r>
        <w:drawing>
          <wp:inline distB="114300" distT="114300" distL="0" distR="0">
            <wp:extent cx="5748480" cy="3905869"/>
            <wp:effectExtent b="0" l="0" r="0" t="0"/>
            <wp:docPr id="901" name="03 Content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3 Content Alpha by Field Kenya"/>
                    <pic:cNvPicPr/>
                  </pic:nvPicPr>
                  <pic:blipFill>
                    <a:blip r:embed="rId66"/>
                    <a:stretch>
                      <a:fillRect/>
                    </a:stretch>
                  </pic:blipFill>
                  <pic:spPr>
                    <a:xfrm>
                      <a:off x="0" y="0"/>
                      <a:ext cx="5748480" cy="3905869"/>
                    </a:xfrm>
                    <a:prstGeom prst="rect">
                      <a:avLst/>
                    </a:prstGeom>
                  </pic:spPr>
                </pic:pic>
              </a:graphicData>
            </a:graphic>
          </wp:inline>
        </w:drawing>
      </w:r>
    </w:p>
    <w:p>
      <w:pPr>
        <w:jc w:val="center"/>
        <w:rPr>
          <w:i/>
          <w:sz w:val="18"/>
        </w:rPr>
      </w:pPr>
      <w:r>
        <w:rPr>
          <w:i/>
          <w:sz w:val="18"/>
        </w:rPr>
        <w:rPr>
          <w:i/>
          <w:sz w:val="18"/>
          <w:highlight w:val="yellow"/>
        </w:rPr>
        <w:t xml:space="preserve">Figure 7. Krippendorff alpha by question field, Content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7"/>
                    <a:stretch>
                      <a:fillRect/>
                    </a:stretch>
                  </pic:blipFill>
                  <pic:spPr>
                    <a:xfrm>
                      <a:off x="0" y="0"/>
                      <a:ext cx="5748480" cy="2589626"/>
                    </a:xfrm>
                    <a:prstGeom prst="rect">
                      <a:avLst/>
                    </a:prstGeom>
                  </pic:spPr>
                </pic:pic>
              </a:graphicData>
            </a:graphic>
          </wp:inline>
        </w:drawing>
      </w:r>
    </w:p>
    <w:p>
      <w:pPr>
        <w:jc w:val="center"/>
        <w:rPr>
          <w:i/>
          <w:sz w:val="18"/>
        </w:rPr>
      </w:pPr>
      <w:r>
        <w:rPr>
          <w:i/>
          <w:sz w:val="18"/>
        </w:rPr>
        <w:rPr>
          <w:i/>
          <w:sz w:val="18"/>
          <w:highlight w:val="yellow"/>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8"/>
                    <a:stretch>
                      <a:fillRect/>
                    </a:stretch>
                  </pic:blipFill>
                  <pic:spPr>
                    <a:xfrm>
                      <a:off x="0" y="0"/>
                      <a:ext cx="5748480" cy="2831687"/>
                    </a:xfrm>
                    <a:prstGeom prst="rect">
                      <a:avLst/>
                    </a:prstGeom>
                  </pic:spPr>
                </pic:pic>
              </a:graphicData>
            </a:graphic>
          </wp:inline>
        </w:drawing>
      </w:r>
    </w:p>
    <w:p>
      <w:pPr>
        <w:jc w:val="center"/>
        <w:rPr>
          <w:i/>
          <w:sz w:val="18"/>
        </w:rPr>
      </w:pPr>
      <w:r>
        <w:rPr>
          <w:i/>
          <w:sz w:val="18"/>
        </w:rPr>
        <w:rPr>
          <w:i/>
          <w:sz w:val="18"/>
          <w:highlight w:val="yellow"/>
        </w:rPr>
        <w:t xml:space="preserve">Figure 9. Distribution of field-level Krippendorff alpha by track and country.</w:t>
      </w:r>
    </w:p>
    <w:p/>
    <w:p/>
    <w:p/>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4"/>
                    <a:stretch>
                      <a:fillRect/>
                    </a:stretch>
                  </pic:blipFill>
                  <pic:spPr>
                    <a:xfrm>
                      <a:off x="0" y="0"/>
                      <a:ext cx="5748480" cy="2121922"/>
                    </a:xfrm>
                    <a:prstGeom prst="rect">
                      <a:avLst/>
                    </a:prstGeom>
                  </pic:spPr>
                </pic:pic>
              </a:graphicData>
            </a:graphic>
          </wp:inline>
        </w:drawing>
      </w:r>
    </w:p>
    <w:p>
      <w:pPr>
        <w:jc w:val="center"/>
        <w:rPr>
          <w:i/>
          <w:sz w:val="18"/>
        </w:rPr>
      </w:pPr>
      <w:r>
        <w:rPr>
          <w:i/>
          <w:sz w:val="18"/>
        </w:rPr>
        <w:rPr>
          <w:i/>
          <w:sz w:val="18"/>
          <w:highlight w:val="yellow"/>
        </w:rPr>
        <w:t xml:space="preserve">Figure 5. Summary of human-human exact agreement, Krippendorff alpha, and kappa by track and country.</w:t>
      </w:r>
    </w:p>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w14: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highlight w:val="yellow"/>
              </w:rPr>
            </w:pPr>
            <w:r>
              <w:rPr>
                <w:rtl w:val="0"/>
                <w:highlight w:val="yellow"/>
              </w:rPr>
              <w:t xml:space="preserve">0.567</w:t>
            </w:r>
          </w:p>
        </w:tc>
        <w:tc>
          <w:tcPr/>
          <w:p w:rsidR="00000000" w:rsidDel="00000000" w:rsidP="00000000" w:rsidRDefault="00000000" w:rsidRPr="00000000" w14: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highlight w:val="yellow"/>
              </w:rPr>
            </w:pPr>
            <w:r>
              <w:rPr>
                <w:rtl w:val="0"/>
                <w:highlight w:val="yellow"/>
              </w:rPr>
              <w:t xml:space="preserve">0.566</w:t>
            </w:r>
          </w:p>
        </w:tc>
        <w:tc>
          <w:tcPr/>
          <w:p w:rsidR="00000000" w:rsidDel="00000000" w:rsidP="00000000" w:rsidRDefault="00000000" w:rsidRPr="00000000" w14: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highlight w:val="yellow"/>
              </w:rPr>
            </w:pPr>
            <w:r>
              <w:rPr>
                <w:rtl w:val="0"/>
                <w:highlight w:val="yellow"/>
              </w:rPr>
              <w:t xml:space="preserve">0.754</w:t>
            </w:r>
          </w:p>
        </w:tc>
        <w:tc>
          <w:tcPr/>
          <w:p w:rsidR="00000000" w:rsidDel="00000000" w:rsidP="00000000" w:rsidRDefault="00000000" w:rsidRPr="00000000" w14: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highlight w:val="yellow"/>
              </w:rPr>
            </w:pPr>
            <w:r>
              <w:rPr>
                <w:rtl w:val="0"/>
                <w:highlight w:val="yellow"/>
              </w:rPr>
              <w:t xml:space="preserve">0.680</w:t>
            </w:r>
          </w:p>
        </w:tc>
        <w:tc>
          <w:tcPr/>
          <w:p w:rsidR="00000000" w:rsidDel="00000000" w:rsidP="00000000" w:rsidRDefault="00000000" w:rsidRPr="00000000" w14:paraId="000001B6">
            <w:pPr>
              <w:rPr>
                <w:highlight w:val="yellow"/>
              </w:rPr>
            </w:pPr>
            <w:r>
              <w:rPr>
                <w:rtl w:val="0"/>
                <w:highlight w:val="yellow"/>
              </w:rPr>
              <w:t xml:space="preserve">0.515</w:t>
            </w:r>
          </w:p>
        </w:tc>
      </w:tr>
    </w:tbl>
    <w:p w:rsidR="00000000" w:rsidDel="00000000" w:rsidP="00000000" w:rsidRDefault="00000000" w:rsidRPr="00000000" w14:paraId="000001B7">
      <w:pPr>
        <w:rPr>
          <w:b w:val="1"/>
          <w:bCs w:val="1"/>
        </w:rPr>
      </w:pPr>
      <w:r>
        <w:rPr>
          <w:rtl w:val="0"/>
        </w:rPr>
      </w:r>
    </w:p>
    <w:p w14: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w14: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w14: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highlight w:val="yellow"/>
              </w:rPr>
            </w:pPr>
            <w:r>
              <w:rPr>
                <w:rtl w:val="0"/>
                <w:highlight w:val="yellow"/>
              </w:rPr>
              <w:t xml:space="preserve">0.639</w:t>
            </w:r>
          </w:p>
        </w:tc>
        <w:tc>
          <w:tcPr/>
          <w:p w:rsidR="00000000" w:rsidDel="00000000" w:rsidP="00000000" w:rsidRDefault="00000000" w:rsidRPr="00000000" w14:paraId="000001C0">
            <w:pPr>
              <w:rPr>
                <w:highlight w:val="yellow"/>
              </w:rPr>
            </w:pPr>
            <w:r>
              <w:rPr>
                <w:rtl w:val="0"/>
                <w:highlight w:val="yellow"/>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highlight w:val="yellow"/>
              </w:rPr>
            </w:pPr>
            <w:r>
              <w:rPr>
                <w:rtl w:val="0"/>
                <w:highlight w:val="yellow"/>
              </w:rPr>
              <w:t xml:space="preserve">0.631</w:t>
            </w:r>
          </w:p>
        </w:tc>
        <w:tc>
          <w:tcPr/>
          <w:p w:rsidR="00000000" w:rsidDel="00000000" w:rsidP="00000000" w:rsidRDefault="00000000" w:rsidRPr="00000000" w14:paraId="000001C5">
            <w:pPr>
              <w:rPr>
                <w:highlight w:val="yellow"/>
              </w:rPr>
            </w:pPr>
            <w:r>
              <w:rPr>
                <w:rtl w:val="0"/>
                <w:highlight w:val="yellow"/>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highlight w:val="yellow"/>
              </w:rPr>
            </w:pPr>
            <w:r>
              <w:rPr>
                <w:rtl w:val="0"/>
                <w:highlight w:val="yellow"/>
              </w:rPr>
              <w:t xml:space="preserve">0.924</w:t>
            </w:r>
          </w:p>
        </w:tc>
        <w:tc>
          <w:tcPr/>
          <w:p w:rsidR="00000000" w:rsidDel="00000000" w:rsidP="00000000" w:rsidRDefault="00000000" w:rsidRPr="00000000" w14:paraId="000001CA">
            <w:pPr>
              <w:rPr>
                <w:highlight w:val="yellow"/>
              </w:rPr>
            </w:pPr>
            <w:r>
              <w:rPr>
                <w:rtl w:val="0"/>
                <w:highlight w:val="yellow"/>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highlight w:val="yellow"/>
              </w:rPr>
            </w:pPr>
            <w:r>
              <w:rPr>
                <w:rtl w:val="0"/>
                <w:highlight w:val="yellow"/>
              </w:rPr>
              <w:t xml:space="preserve">0.896</w:t>
            </w:r>
          </w:p>
        </w:tc>
        <w:tc>
          <w:tcPr/>
          <w:p w:rsidR="00000000" w:rsidDel="00000000" w:rsidP="00000000" w:rsidRDefault="00000000" w:rsidRPr="00000000" w14:paraId="000001CF">
            <w:pPr>
              <w:rPr>
                <w:highlight w:val="yellow"/>
              </w:rPr>
            </w:pPr>
            <w:r>
              <w:rPr>
                <w:rtl w:val="0"/>
                <w:highlight w:val="yellow"/>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highlight w:val="yellow"/>
              </w:rPr>
            </w:pPr>
            <w:r>
              <w:rPr>
                <w:rtl w:val="0"/>
                <w:highlight w:val="yellow"/>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w14:paraId="GG003FB">
      <w:pPr>
        <w:rPr>
          <w:highlight w:val="yellow"/>
        </w:rPr>
      </w:pPr>
      <w:r>
        <w:rPr>
          <w:highlight w:val="yellow"/>
        </w:rPr>
        <w:t xml:space="preserve">Nigeria and Kenya share the same masculine pressure points, provision, relationships, emotional control, sexual morality, fatherhood, status, but package them differently. The following cross-national patterns emerged:</w:t>
      </w:r>
    </w:p>
    <w:p w14:paraId="GG003FC">
      <w:pPr>
        <w:pStyle w:val="ListParagraph"/>
        <w:numPr>
          <w:ilvl w:val="0"/>
          <w:numId w:val="1"/>
        </w:numPr>
        <w:rPr>
          <w:highlight w:val="yellow"/>
        </w:rPr>
      </w:pPr>
      <w:r>
        <w:rPr>
          <w:b w:val="1"/>
          <w:highlight w:val="yellow"/>
        </w:rPr>
        <w:t xml:space="preserve">Shared entry points:</w:t>
      </w:r>
    </w:p>
    <w:p w14:paraId="GG003FD">
      <w:pPr>
        <w:pStyle w:val="ListParagraph"/>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highlight w:val="yellow"/>
        </w:rPr>
      </w:pPr>
      <w:r>
        <w:rPr>
          <w:b w:val="1"/>
          <w:highlight w:val="yellow"/>
        </w:rPr>
        <w:t xml:space="preserve">Country divergences:</w:t>
      </w:r>
    </w:p>
    <w:p w14:paraId="GG00400">
      <w:pPr>
        <w:pStyle w:val="ListParagraph"/>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highlight w:val="yellow"/>
        </w:rPr>
      </w:pPr>
      <w:r>
        <w:rPr>
          <w:b w:val="1"/>
          <w:highlight w:val="yellow"/>
        </w:rPr>
        <w:t xml:space="preserve">Program Design Implications from Comparative Analysis:</w:t>
      </w:r>
    </w:p>
    <w:p w14:paraId="GG00404">
      <w:pPr>
        <w:pStyle w:val="ListParagraph"/>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rather than hierarchy and competition, is the core design challenge.</w:t>
      </w:r>
    </w:p>
    <w:p w14:paraId="GG00405">
      <w:pPr>
        <w:pStyle w:val="ListParagraph"/>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highlight w:val="yellow"/>
        </w:rPr>
      </w:pPr>
      <w:r>
        <w:rPr>
          <w:highlight w:val="yellow"/>
        </w:rPr>
        <w:t xml:space="preserve">The following limitations are specific to this sample and should be read by anyone interpreting these findings. Each is quantified where possible.</w:t>
      </w:r>
    </w:p>
    <w:p w14:paraId="CC013AD">
      <w:pPr>
        <w:pStyle w:val="ListParagraph"/>
        <w:numPr>
          <w:ilvl w:val="0"/>
          <w:numId w:val="1"/>
        </w:numPr>
        <w:rPr>
          <w:highlight w:val="yellow"/>
        </w:rPr>
      </w:pPr>
      <w:r>
        <w:rPr>
          <w:b w:val="1"/>
          <w:highlight w:val="yellow"/>
        </w:rPr>
        <w:t xml:space="preserve">Sample coverage and representativeness:</w:t>
      </w:r>
    </w:p>
    <w:p w14:paraId="CC013AE">
      <w:pPr>
        <w:pStyle w:val="ListParagraph"/>
        <w:numPr>
          <w:ilvl w:val="0"/>
          <w:numId w:val="1"/>
        </w:numPr>
        <w:rPr>
          <w:highlight w:val="yellow"/>
        </w:rPr>
      </w:pPr>
      <w:r>
        <w:rPr>
          <w:highlight w:val="yellow"/>
        </w:rPr>
        <w:t xml:space="preserve">The content corpus covers 704 snippets from 11 creators (6 Nigeria, 5 Kenya). This represents a purposive, high-signal sample,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highlight w:val="yellow"/>
        </w:rPr>
      </w:pPr>
      <w:r>
        <w:rPr>
          <w:b w:val="1"/>
          <w:highlight w:val="yellow"/>
        </w:rPr>
        <w:t xml:space="preserve">Platform imbalance:</w:t>
      </w:r>
    </w:p>
    <w:p w14:paraId="CC013B1">
      <w:pPr>
        <w:pStyle w:val="ListParagraph"/>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highlight w:val="yellow"/>
        </w:rPr>
      </w:pPr>
      <w:r>
        <w:rPr>
          <w:b w:val="1"/>
          <w:highlight w:val="yellow"/>
        </w:rPr>
        <w:t xml:space="preserve">Creator coverage limits:</w:t>
      </w:r>
    </w:p>
    <w:p w14:paraId="CC013B3">
      <w:pPr>
        <w:pStyle w:val="ListParagraph"/>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highlight w:val="yellow"/>
        </w:rPr>
      </w:pPr>
      <w:r>
        <w:rPr>
          <w:b w:val="1"/>
          <w:highlight w:val="yellow"/>
        </w:rPr>
        <w:t xml:space="preserve">Engagement data coverage:</w:t>
      </w:r>
    </w:p>
    <w:p w14:paraId="CC013B5">
      <w:pPr>
        <w:pStyle w:val="ListParagraph"/>
        <w:numPr>
          <w:ilvl w:val="0"/>
          <w:numId w:val="1"/>
        </w:numPr>
        <w:rPr>
          <w:highlight w:val="yellow"/>
        </w:rPr>
      </w:pPr>
      <w:r>
        <w:rPr>
          <w:highlight w:val="yellow"/>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w14:paraId="CC013B6">
      <w:pPr>
        <w:pStyle w:val="ListParagraph"/>
        <w:numPr>
          <w:ilvl w:val="0"/>
          <w:numId w:val="1"/>
        </w:numPr>
        <w:rPr>
          <w:highlight w:val="yellow"/>
        </w:rPr>
      </w:pPr>
      <w:r>
        <w:rPr>
          <w:b w:val="1"/>
          <w:highlight w:val="yellow"/>
        </w:rPr>
        <w:t xml:space="preserve">LLM coding accuracy:</w:t>
      </w:r>
    </w:p>
    <w:p w14:paraId="CC013B7">
      <w:pPr>
        <w:pStyle w:val="ListParagraph"/>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highlight w:val="yellow"/>
        </w:rPr>
      </w:pPr>
      <w:r>
        <w:rPr>
          <w:b w:val="1"/>
          <w:highlight w:val="yellow"/>
        </w:rPr>
        <w:t xml:space="preserve">Generalisability:</w:t>
      </w:r>
    </w:p>
    <w:p w14:paraId="CC013B9">
      <w:pPr>
        <w:pStyle w:val="ListParagraph"/>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highlight w:val="yellow"/>
        </w:rPr>
      </w:pPr>
      <w:r>
        <w:rPr>
          <w:highlight w:val="yellow"/>
        </w:rPr>
        <w:t xml:space="preserve">Taken together, the content analysis indicates that masculinity discourse in Nigeria and Kenya is not only about whether a creator is progressive or regressive, it is about how creators make sense of pressure. Key findings for practice are:</w:t>
      </w:r>
    </w:p>
    <w:p w14:paraId="GG00407">
      <w:pPr>
        <w:pStyle w:val="ListParagraph"/>
        <w:numPr>
          <w:ilvl w:val="0"/>
          <w:numId w:val="1"/>
        </w:numPr>
        <w:rPr>
          <w:highlight w:val="yellow"/>
        </w:rPr>
      </w:pPr>
      <w:r>
        <w:rPr>
          <w:highlight w:val="yellow"/>
        </w:rPr>
        <w:t xml:space="preserve">Provider burden, relationship anxiety, and emotional life are the shared terrain,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highlight w:val="yellow"/>
        </w:rPr>
      </w:pPr>
      <w:r>
        <w:rPr>
          <w:highlight w:val="yellow"/>
        </w:rPr>
        <w:t xml:space="preserve">Engagement data confirms that provision/money themes drive the highest cumulative YouTube reach (MENtality: Masculinity + Money, 251,680 views), while X/Twitter engagement is dominated by provocative regressive content, a platform-format interaction with direct implications for channel strategy.</w:t>
      </w:r>
    </w:p>
    <w:p w14:paraId="GG0040B">
      <w:pPr>
        <w:pStyle w:val="ListParagraph"/>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 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w14: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highlight w:val="yellow"/>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highlight w:val="yellow"/>
              </w:rPr>
              <w:t xml:space="preserve">Reported in Section 3.4 of the Audience Analysis Report</w:t>
            </w:r>
          </w:p>
        </w:tc>
        <w:tc>
          <w:tcPr/>
          <w:p w:rsidR="00000000" w:rsidDel="00000000" w:rsidP="00000000" w:rsidRDefault="00000000" w:rsidRPr="00000000" w14:paraId="000002C2">
            <w:pPr>
              <w:widowControl w:val="1"/>
              <w:spacing w:after="120" w:before="0" w:line="240" w:lineRule="auto"/>
              <w:jc w:val="left"/>
              <w:rPr/>
            </w:pPr>
            <w:r>
              <w:rPr>
                <w:rtl w:val="0"/>
                <w:highlight w:val="yellow"/>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highlight w:val="yellow"/>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highlight w:val="yellow"/>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highlight w:val="yellow"/>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highlight w:val="yellow"/>
              </w:rPr>
            </w:pPr>
            <w:r>
              <w:rPr>
                <w:rtl w:val="0"/>
                <w:highlight w:val="yellow"/>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highlight w:val="yellow"/>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highlight w:val="yellow"/>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highlight w:val="yellow"/>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highlight w:val="yellow"/>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highlight w:val="yellow"/>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highlight w:val="yellow"/>
              </w:rPr>
            </w:pPr>
            <w:r>
              <w:rPr>
                <w:rtl w:val="0"/>
                <w:highlight w:val="yellow"/>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highlight w:val="yellow"/>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highlight w:val="yellow"/>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highlight w:val="yellow"/>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highlight w:val="yellow"/>
              </w:rPr>
            </w:pPr>
            <w:r>
              <w:rPr>
                <w:rtl w:val="0"/>
                <w:highlight w:val="yellow"/>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highlight w:val="yellow"/>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highlight w:val="yellow"/>
              </w:rPr>
            </w:pPr>
            <w:r>
              <w:rPr>
                <w:rtl w:val="0"/>
                <w:highlight w:val="yellow"/>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highlight w:val="yellow"/>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highlight w:val="yellow"/>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highlight w:val="yellow"/>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highlight w:val="yellow"/>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highlight w:val="yellow"/>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highlight w:val="yellow"/>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highlight w:val="yellow"/>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highlight w:val="yellow"/>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highlight w:val="yellow"/>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highlight w:val="yellow"/>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highlight w:val="yellow"/>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highlight w:val="yellow"/>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highlight w:val="yellow"/>
              </w:rPr>
            </w:pPr>
            <w:r>
              <w:rPr>
                <w:rtl w:val="0"/>
                <w:highlight w:val="yellow"/>
              </w:rPr>
              <w:t xml:space="preserve">0.680</w:t>
            </w:r>
          </w:p>
        </w:tc>
      </w:tr>
    </w:tbl>
    <w:p w:rsidR="00000000" w:rsidDel="00000000" w:rsidP="00000000" w:rsidRDefault="00000000" w:rsidRPr="00000000" w14:paraId="00000333">
      <w:pPr>
        <w:rPr/>
      </w:pPr>
      <w:r>
        <w:rPr>
          <w:rtl w:val="0"/>
          <w:highlight w:val="yellow"/>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BFBFC" w14:textId="77777777" w:rsidR="00451AE7" w:rsidRDefault="00451AE7">
      <w:pPr>
        <w:spacing w:after="0" w:line="240" w:lineRule="auto"/>
      </w:pPr>
      <w:r>
        <w:separator/>
      </w:r>
    </w:p>
  </w:endnote>
  <w:endnote w:type="continuationSeparator" w:id="0">
    <w:p w14:paraId="6ED08257" w14:textId="77777777" w:rsidR="00451AE7" w:rsidRDefault="00451AE7">
      <w:pPr>
        <w:spacing w:after="0"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0765" w14:textId="77777777" w:rsidR="00451AE7" w:rsidRDefault="00451AE7">
      <w:pPr>
        <w:spacing w:after="0" w:line="240" w:lineRule="auto"/>
      </w:pPr>
      <w:r>
        <w:separator/>
      </w:r>
    </w:p>
  </w:footnote>
  <w:footnote w:type="continuationSeparator" w:id="0">
    <w:p w14:paraId="54D38171" w14:textId="77777777" w:rsidR="00451AE7" w:rsidRDefault="00451AE7">
      <w:pPr>
        <w:spacing w:after="0" w:line="240" w:lineRule="auto"/>
      </w:pPr>
      <w: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3.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5.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14.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13.png"/><Relationship Id="rId26" Type="http://schemas.openxmlformats.org/officeDocument/2006/relationships/image" Target="media/image1.png"/><Relationship Id="rId25" Type="http://schemas.openxmlformats.org/officeDocument/2006/relationships/image" Target="media/image11.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8.png"/><Relationship Id="rId52" Type="http://schemas.openxmlformats.org/officeDocument/2006/relationships/image" Target="media/image2.png"/><Relationship Id="rId11" Type="http://schemas.openxmlformats.org/officeDocument/2006/relationships/hyperlink" Target="https://www.philittv.com/" TargetMode="External"/><Relationship Id="rId55" Type="http://schemas.openxmlformats.org/officeDocument/2006/relationships/image" Target="media/image9.png"/><Relationship Id="rId10" Type="http://schemas.openxmlformats.org/officeDocument/2006/relationships/hyperlink" Target="https://instagram.com/phil_director" TargetMode="External"/><Relationship Id="rId54" Type="http://schemas.openxmlformats.org/officeDocument/2006/relationships/image" Target="media/image7.png"/><Relationship Id="rId13" Type="http://schemas.openxmlformats.org/officeDocument/2006/relationships/hyperlink" Target="https://www.youtube.com/@OfficialRixpoet" TargetMode="External"/><Relationship Id="rId57" Type="http://schemas.openxmlformats.org/officeDocument/2006/relationships/image" Target="media/image4.png"/><Relationship Id="rId12" Type="http://schemas.openxmlformats.org/officeDocument/2006/relationships/hyperlink" Target="https://www.instagram.com/rixpoet/" TargetMode="External"/><Relationship Id="rId56" Type="http://schemas.openxmlformats.org/officeDocument/2006/relationships/image" Target="media/image6.png"/><Relationship Id="rId15" Type="http://schemas.openxmlformats.org/officeDocument/2006/relationships/hyperlink" Target="https://www.instagram.com/eddykimani/" TargetMode="External"/><Relationship Id="rId59" Type="http://schemas.openxmlformats.org/officeDocument/2006/relationships/image" Target="media/image10.png"/><Relationship Id="rId14" Type="http://schemas.openxmlformats.org/officeDocument/2006/relationships/hyperlink" Target="https://www.tiktok.com/@eddykimani" TargetMode="External"/><Relationship Id="rId58" Type="http://schemas.openxmlformats.org/officeDocument/2006/relationships/image" Target="media/image12.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 Id="rId64" Type="http://schemas.openxmlformats.org/officeDocument/2006/relationships/image" Target="media/01 Agreement Summary by Track and Country.png"/><Relationship Id="rId65" Type="http://schemas.openxmlformats.org/officeDocument/2006/relationships/image" Target="media/02 Content Alpha by Field Nigeria.png"/><Relationship Id="rId66" Type="http://schemas.openxmlformats.org/officeDocument/2006/relationships/image" Target="media/03 Content Alpha by Field Kenya.png"/><Relationship Id="rId67" Type="http://schemas.openxmlformats.org/officeDocument/2006/relationships/image" Target="media/06 F1 Summary by Track and Country.png"/><Relationship Id="rId68" Type="http://schemas.openxmlformats.org/officeDocument/2006/relationships/image" Target="media/07 Alpha Distribution Boxplot.png"/></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