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pfkzwfpzo5br" w:id="0"/>
      <w:bookmarkEnd w:id="0"/>
      <w:r w:rsidDel="00000000" w:rsidR="00000000" w:rsidRPr="00000000">
        <w:rPr>
          <w:rtl w:val="0"/>
        </w:rPr>
        <w:t xml:space="preserve">Objectives</w:t>
      </w:r>
    </w:p>
    <w:p w:rsidR="00000000" w:rsidDel="00000000" w:rsidP="00000000" w:rsidRDefault="00000000" w:rsidRPr="00000000" w14:paraId="00000002">
      <w:pPr>
        <w:numPr>
          <w:ilvl w:val="0"/>
          <w:numId w:val="2"/>
        </w:numPr>
        <w:ind w:left="720" w:hanging="360"/>
      </w:pPr>
      <w:r w:rsidDel="00000000" w:rsidR="00000000" w:rsidRPr="00000000">
        <w:rPr>
          <w:rtl w:val="0"/>
        </w:rPr>
        <w:t xml:space="preserve">The study focuses on media content that explicitly or implicitly addresses masculinity, with the objective of identifying core narratives, strategies, and appeals that drive engagement, particularly among adolescent boys and young men. </w:t>
      </w:r>
    </w:p>
    <w:p w:rsidR="00000000" w:rsidDel="00000000" w:rsidP="00000000" w:rsidRDefault="00000000" w:rsidRPr="00000000" w14:paraId="00000003">
      <w:pPr>
        <w:numPr>
          <w:ilvl w:val="0"/>
          <w:numId w:val="2"/>
        </w:numPr>
        <w:ind w:left="720" w:hanging="360"/>
      </w:pPr>
      <w:r w:rsidDel="00000000" w:rsidR="00000000" w:rsidRPr="00000000">
        <w:rPr>
          <w:rtl w:val="0"/>
        </w:rPr>
        <w:t xml:space="preserve">For each of the selected influencers in the content analysis, we analyzed a sample of media outputs to better understand the core topics, themes, narratives, sentiments, and rhetorical strategies used in communicating about masculinity. </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The audience reception analysis, leveraging existing LLMs and human coding, focuses on the sentiment, emotions, and perceived impact of the content, as reported by engaged audiences.</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pStyle w:val="Heading2"/>
        <w:rPr/>
      </w:pPr>
      <w:bookmarkStart w:colFirst="0" w:colLast="0" w:name="_1e1s6f6vspyd" w:id="1"/>
      <w:bookmarkEnd w:id="1"/>
      <w:r w:rsidDel="00000000" w:rsidR="00000000" w:rsidRPr="00000000">
        <w:rPr>
          <w:rtl w:val="0"/>
        </w:rPr>
        <w:t xml:space="preserve">Research Questions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o5sd4pr5s65c" w:id="2"/>
      <w:bookmarkEnd w:id="2"/>
      <w:r w:rsidDel="00000000" w:rsidR="00000000" w:rsidRPr="00000000">
        <w:rPr>
          <w:rtl w:val="0"/>
        </w:rPr>
        <w:t xml:space="preserve">Methods </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In content analysis, which influencers did we study? Why those ones?</w:t>
      </w:r>
    </w:p>
    <w:p w:rsidR="00000000" w:rsidDel="00000000" w:rsidP="00000000" w:rsidRDefault="00000000" w:rsidRPr="00000000" w14:paraId="0000000A">
      <w:pPr>
        <w:numPr>
          <w:ilvl w:val="1"/>
          <w:numId w:val="1"/>
        </w:numPr>
        <w:ind w:left="1440" w:hanging="360"/>
      </w:pPr>
      <w:r w:rsidDel="00000000" w:rsidR="00000000" w:rsidRPr="00000000">
        <w:rPr>
          <w:rtl w:val="0"/>
        </w:rPr>
        <w:t xml:space="preserve">Informed by the landscape analysis, we identified X high-reach content creators who are influential in the networked masculinities ecosystems of Nigeria and Kenya</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In audience reception, reactions to which content did we study? Why those one?</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List/table</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For each media output in the content analysis sample, we will compile and analyze audience engagement metrics. Where available, we will capture view counts, impressions, comments, and re-shares. These metrics will be analyzed by country and content format, and will be correlated with quantitative content analysis variables to learn what content features (e.g., appeals, narratives) are associated with the greatest engagement.</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To gain a more granular understanding of audience reception, we will conduct in-depth qualitative analysis of 4-8 pieces of longform audiovisual content (e.g., YouTube podcasts, 2-4 per country), delving into the comments and discussions accompanying the content. </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pStyle w:val="Heading2"/>
        <w:rPr/>
      </w:pPr>
      <w:bookmarkStart w:colFirst="0" w:colLast="0" w:name="_ly4hhevizesh" w:id="3"/>
      <w:bookmarkEnd w:id="3"/>
      <w:r w:rsidDel="00000000" w:rsidR="00000000" w:rsidRPr="00000000">
        <w:rPr>
          <w:rtl w:val="0"/>
        </w:rPr>
        <w:t xml:space="preserve">Cross-cutting findings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11o5rbd4piha" w:id="4"/>
      <w:bookmarkEnd w:id="4"/>
      <w:r w:rsidDel="00000000" w:rsidR="00000000" w:rsidRPr="00000000">
        <w:rPr>
          <w:rtl w:val="0"/>
        </w:rPr>
        <w:t xml:space="preserve">Country-specific findings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tcvzw8vz4dgp" w:id="5"/>
      <w:bookmarkEnd w:id="5"/>
      <w:r w:rsidDel="00000000" w:rsidR="00000000" w:rsidRPr="00000000">
        <w:rPr>
          <w:rtl w:val="0"/>
        </w:rPr>
        <w:t xml:space="preserve">Implications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c1nnlrk0tnp" w:id="6"/>
      <w:bookmarkEnd w:id="6"/>
      <w:r w:rsidDel="00000000" w:rsidR="00000000" w:rsidRPr="00000000">
        <w:rPr>
          <w:rtl w:val="0"/>
        </w:rPr>
        <w:t xml:space="preserve">Appendices</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Links to datasets</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Which tools/models were used</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Methods note on cleaning/translating data</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Methods note on exploratory LLM analysis</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Methods note on focused LLM/human analysis</w:t>
      </w:r>
    </w:p>
    <w:p w:rsidR="00000000" w:rsidDel="00000000" w:rsidP="00000000" w:rsidRDefault="00000000" w:rsidRPr="00000000" w14:paraId="0000001C">
      <w:pPr>
        <w:numPr>
          <w:ilvl w:val="1"/>
          <w:numId w:val="3"/>
        </w:numPr>
        <w:ind w:left="1440" w:hanging="360"/>
      </w:pPr>
      <w:r w:rsidDel="00000000" w:rsidR="00000000" w:rsidRPr="00000000">
        <w:rPr>
          <w:rtl w:val="0"/>
        </w:rPr>
        <w:t xml:space="preserve">Questions we asked</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Full reliability table</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Anything else?</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ill San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ill Sans" w:cs="Gill Sans" w:eastAsia="Gill Sans" w:hAnsi="Gill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29" w:lineRule="auto"/>
      <w:ind w:right="41"/>
      <w:jc w:val="center"/>
    </w:pPr>
    <w:rPr>
      <w:rFonts w:ascii="Gill Sans" w:cs="Gill Sans" w:eastAsia="Gill Sans" w:hAnsi="Gill Sans"/>
      <w:b w:val="1"/>
      <w:bCs w:val="1"/>
      <w:sz w:val="28"/>
      <w:szCs w:val="28"/>
    </w:rPr>
  </w:style>
  <w:style w:type="paragraph" w:styleId="Heading2">
    <w:name w:val="heading 2"/>
    <w:basedOn w:val="Normal"/>
    <w:next w:val="Normal"/>
    <w:pPr>
      <w:keepNext w:val="1"/>
      <w:keepLines w:val="1"/>
      <w:spacing w:line="229" w:lineRule="auto"/>
      <w:ind w:right="41"/>
    </w:pPr>
    <w:rPr>
      <w:rFonts w:ascii="Gill Sans" w:cs="Gill Sans" w:eastAsia="Gill Sans" w:hAnsi="Gill Sans"/>
      <w:b w:val="1"/>
      <w:bCs w:val="1"/>
      <w:color w:val="666666"/>
      <w:sz w:val="24"/>
      <w:szCs w:val="24"/>
    </w:rPr>
  </w:style>
  <w:style w:type="paragraph" w:styleId="Heading3">
    <w:name w:val="heading 3"/>
    <w:basedOn w:val="Normal"/>
    <w:next w:val="Normal"/>
    <w:pPr>
      <w:keepNext w:val="1"/>
      <w:keepLines w:val="1"/>
      <w:spacing w:line="229" w:lineRule="auto"/>
      <w:ind w:left="1440" w:right="41" w:hanging="360"/>
    </w:pPr>
    <w:rPr>
      <w:rFonts w:ascii="Nunito" w:cs="Nunito" w:eastAsia="Nunito" w:hAnsi="Nunito"/>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GillSans-regular.ttf"/><Relationship Id="rId6"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