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pfkzwfpzo5br" w:id="0"/>
      <w:bookmarkEnd w:id="0"/>
      <w:r w:rsidDel="00000000" w:rsidR="00000000" w:rsidRPr="00000000">
        <w:rPr>
          <w:rtl w:val="0"/>
        </w:rPr>
        <w:t xml:space="preserve">Objectives</w:t>
      </w:r>
    </w:p>
    <w:p w:rsidR="00000000" w:rsidDel="00000000" w:rsidP="00000000" w:rsidRDefault="00000000" w:rsidRPr="00000000" w14:paraId="00000002">
      <w:pPr>
        <w:numPr>
          <w:ilvl w:val="0"/>
          <w:numId w:val="2"/>
        </w:numPr>
        <w:ind w:left="720" w:hanging="360"/>
      </w:pPr>
      <w:r w:rsidDel="00000000" w:rsidR="00000000" w:rsidRPr="00000000">
        <w:rPr>
          <w:rtl w:val="0"/>
        </w:rPr>
        <w:t xml:space="preserve">The study focuses on media content that explicitly or implicitly addresses masculinity, with the objective of identifying core narratives, strategies, and appeals that drive engagement, particularly among adolescent boys and young men. </w:t>
      </w:r>
    </w:p>
    <w:p w:rsidR="00000000" w:rsidDel="00000000" w:rsidP="00000000" w:rsidRDefault="00000000" w:rsidRPr="00000000" w14:paraId="00000003">
      <w:pPr>
        <w:numPr>
          <w:ilvl w:val="0"/>
          <w:numId w:val="2"/>
        </w:numPr>
        <w:ind w:left="720" w:hanging="360"/>
        <w:rPr>
          <w:u w:val="none"/>
        </w:rPr>
      </w:pPr>
      <w:r w:rsidDel="00000000" w:rsidR="00000000" w:rsidRPr="00000000">
        <w:rPr>
          <w:rtl w:val="0"/>
        </w:rPr>
        <w:t xml:space="preserve">For each of the selected influencers, we analyzed a sample of media outputs to better understand the core topics, themes, narratives, sentiments, and rhetorical strategies used in communicating about masculinity. This content analysis will surface how different narratives, themes, and topics cluster together in the media outputs of studied influencers, thus surfacing how different entry points into this content might function.</w:t>
      </w:r>
    </w:p>
    <w:p w:rsidR="00000000" w:rsidDel="00000000" w:rsidP="00000000" w:rsidRDefault="00000000" w:rsidRPr="00000000" w14:paraId="00000004">
      <w:pPr>
        <w:ind w:left="720" w:firstLine="0"/>
        <w:rPr/>
      </w:pPr>
      <w:r w:rsidDel="00000000" w:rsidR="00000000" w:rsidRPr="00000000">
        <w:rPr>
          <w:rtl w:val="0"/>
        </w:rPr>
      </w:r>
    </w:p>
    <w:p w:rsidR="00000000" w:rsidDel="00000000" w:rsidP="00000000" w:rsidRDefault="00000000" w:rsidRPr="00000000" w14:paraId="00000005">
      <w:pPr>
        <w:pStyle w:val="Heading2"/>
        <w:rPr/>
      </w:pPr>
      <w:bookmarkStart w:colFirst="0" w:colLast="0" w:name="_1e1s6f6vspyd" w:id="1"/>
      <w:bookmarkEnd w:id="1"/>
      <w:r w:rsidDel="00000000" w:rsidR="00000000" w:rsidRPr="00000000">
        <w:rPr>
          <w:rtl w:val="0"/>
        </w:rPr>
        <w:t xml:space="preserve">Research Questions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rPr/>
      </w:pPr>
      <w:bookmarkStart w:colFirst="0" w:colLast="0" w:name="_o5sd4pr5s65c" w:id="2"/>
      <w:bookmarkEnd w:id="2"/>
      <w:r w:rsidDel="00000000" w:rsidR="00000000" w:rsidRPr="00000000">
        <w:rPr>
          <w:rtl w:val="0"/>
        </w:rPr>
        <w:t xml:space="preserve">Methods </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Which influencers did we study? Why those ones?</w:t>
      </w:r>
    </w:p>
    <w:p w:rsidR="00000000" w:rsidDel="00000000" w:rsidP="00000000" w:rsidRDefault="00000000" w:rsidRPr="00000000" w14:paraId="00000009">
      <w:pPr>
        <w:numPr>
          <w:ilvl w:val="1"/>
          <w:numId w:val="1"/>
        </w:numPr>
        <w:ind w:left="1440" w:hanging="360"/>
        <w:rPr>
          <w:u w:val="none"/>
        </w:rPr>
      </w:pPr>
      <w:r w:rsidDel="00000000" w:rsidR="00000000" w:rsidRPr="00000000">
        <w:rPr>
          <w:rtl w:val="0"/>
        </w:rPr>
        <w:t xml:space="preserve">Informed by the landscape analysis, we identified X high-reach content creators who are influential in the networked masculinities ecosystems of Nigeria and Kenya</w:t>
      </w:r>
    </w:p>
    <w:p w:rsidR="00000000" w:rsidDel="00000000" w:rsidP="00000000" w:rsidRDefault="00000000" w:rsidRPr="00000000" w14:paraId="0000000A">
      <w:pPr>
        <w:numPr>
          <w:ilvl w:val="1"/>
          <w:numId w:val="1"/>
        </w:numPr>
        <w:ind w:left="1440" w:hanging="360"/>
        <w:rPr>
          <w:u w:val="none"/>
        </w:rPr>
      </w:pPr>
      <w:r w:rsidDel="00000000" w:rsidR="00000000" w:rsidRPr="00000000">
        <w:rPr>
          <w:rtl w:val="0"/>
        </w:rPr>
        <w:t xml:space="preserve">Table/list for both countries</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Quantitative keyword and lexical analyses will be used to learn about the general structure of arguments, appeals, and word choice across the sampled content. </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Qualitative discourse analyses on a subsample of the quantitative sample will be used to understand the rhetorical tactics and devices used to convince and engage audiences.</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Exploratory LLM analysis on the whole dataset</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Focused LLM and human analysis on a subset of the dataset</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Reliability </w:t>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pStyle w:val="Heading2"/>
        <w:rPr/>
      </w:pPr>
      <w:bookmarkStart w:colFirst="0" w:colLast="0" w:name="_ly4hhevizesh" w:id="3"/>
      <w:bookmarkEnd w:id="3"/>
      <w:r w:rsidDel="00000000" w:rsidR="00000000" w:rsidRPr="00000000">
        <w:rPr>
          <w:rtl w:val="0"/>
        </w:rPr>
        <w:t xml:space="preserve">Cross-cutting findings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rPr/>
      </w:pPr>
      <w:bookmarkStart w:colFirst="0" w:colLast="0" w:name="_11o5rbd4piha" w:id="4"/>
      <w:bookmarkEnd w:id="4"/>
      <w:r w:rsidDel="00000000" w:rsidR="00000000" w:rsidRPr="00000000">
        <w:rPr>
          <w:rtl w:val="0"/>
        </w:rPr>
        <w:t xml:space="preserve">Country-specific findings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rPr/>
      </w:pPr>
      <w:bookmarkStart w:colFirst="0" w:colLast="0" w:name="_tcvzw8vz4dgp" w:id="5"/>
      <w:bookmarkEnd w:id="5"/>
      <w:r w:rsidDel="00000000" w:rsidR="00000000" w:rsidRPr="00000000">
        <w:rPr>
          <w:rtl w:val="0"/>
        </w:rPr>
        <w:t xml:space="preserve">Implications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rPr/>
      </w:pPr>
      <w:bookmarkStart w:colFirst="0" w:colLast="0" w:name="_c1nnlrk0tnp" w:id="6"/>
      <w:bookmarkEnd w:id="6"/>
      <w:r w:rsidDel="00000000" w:rsidR="00000000" w:rsidRPr="00000000">
        <w:rPr>
          <w:rtl w:val="0"/>
        </w:rPr>
        <w:t xml:space="preserve">Appendices</w:t>
      </w:r>
    </w:p>
    <w:p w:rsidR="00000000" w:rsidDel="00000000" w:rsidP="00000000" w:rsidRDefault="00000000" w:rsidRPr="00000000" w14:paraId="00000018">
      <w:pPr>
        <w:numPr>
          <w:ilvl w:val="0"/>
          <w:numId w:val="3"/>
        </w:numPr>
        <w:ind w:left="720" w:hanging="360"/>
        <w:rPr>
          <w:u w:val="none"/>
        </w:rPr>
      </w:pPr>
      <w:r w:rsidDel="00000000" w:rsidR="00000000" w:rsidRPr="00000000">
        <w:rPr>
          <w:rtl w:val="0"/>
        </w:rPr>
        <w:t xml:space="preserve">Links to datasets</w:t>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Which tools/models were used</w:t>
      </w:r>
    </w:p>
    <w:p w:rsidR="00000000" w:rsidDel="00000000" w:rsidP="00000000" w:rsidRDefault="00000000" w:rsidRPr="00000000" w14:paraId="0000001A">
      <w:pPr>
        <w:numPr>
          <w:ilvl w:val="0"/>
          <w:numId w:val="3"/>
        </w:numPr>
        <w:ind w:left="720" w:hanging="360"/>
        <w:rPr>
          <w:u w:val="none"/>
        </w:rPr>
      </w:pPr>
      <w:r w:rsidDel="00000000" w:rsidR="00000000" w:rsidRPr="00000000">
        <w:rPr>
          <w:rtl w:val="0"/>
        </w:rPr>
        <w:t xml:space="preserve">Methods note on cleaning/translating data</w:t>
      </w:r>
    </w:p>
    <w:p w:rsidR="00000000" w:rsidDel="00000000" w:rsidP="00000000" w:rsidRDefault="00000000" w:rsidRPr="00000000" w14:paraId="0000001B">
      <w:pPr>
        <w:numPr>
          <w:ilvl w:val="0"/>
          <w:numId w:val="3"/>
        </w:numPr>
        <w:ind w:left="720" w:hanging="360"/>
        <w:rPr>
          <w:u w:val="none"/>
        </w:rPr>
      </w:pPr>
      <w:r w:rsidDel="00000000" w:rsidR="00000000" w:rsidRPr="00000000">
        <w:rPr>
          <w:rtl w:val="0"/>
        </w:rPr>
        <w:t xml:space="preserve">Methods note on exploratory LLM analysis</w:t>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Methods note on focused LLM/human analysis</w:t>
      </w:r>
    </w:p>
    <w:p w:rsidR="00000000" w:rsidDel="00000000" w:rsidP="00000000" w:rsidRDefault="00000000" w:rsidRPr="00000000" w14:paraId="0000001D">
      <w:pPr>
        <w:numPr>
          <w:ilvl w:val="1"/>
          <w:numId w:val="3"/>
        </w:numPr>
        <w:ind w:left="1440" w:hanging="360"/>
        <w:rPr>
          <w:u w:val="none"/>
        </w:rPr>
      </w:pPr>
      <w:r w:rsidDel="00000000" w:rsidR="00000000" w:rsidRPr="00000000">
        <w:rPr>
          <w:rtl w:val="0"/>
        </w:rPr>
        <w:t xml:space="preserve">Questions we asked</w:t>
      </w:r>
    </w:p>
    <w:p w:rsidR="00000000" w:rsidDel="00000000" w:rsidP="00000000" w:rsidRDefault="00000000" w:rsidRPr="00000000" w14:paraId="0000001E">
      <w:pPr>
        <w:numPr>
          <w:ilvl w:val="0"/>
          <w:numId w:val="3"/>
        </w:numPr>
        <w:ind w:left="720" w:hanging="360"/>
        <w:rPr>
          <w:u w:val="none"/>
        </w:rPr>
      </w:pPr>
      <w:r w:rsidDel="00000000" w:rsidR="00000000" w:rsidRPr="00000000">
        <w:rPr>
          <w:rtl w:val="0"/>
        </w:rPr>
        <w:t xml:space="preserve">Full reliability table</w:t>
      </w:r>
    </w:p>
    <w:p w:rsidR="00000000" w:rsidDel="00000000" w:rsidP="00000000" w:rsidRDefault="00000000" w:rsidRPr="00000000" w14:paraId="0000001F">
      <w:pPr>
        <w:numPr>
          <w:ilvl w:val="0"/>
          <w:numId w:val="3"/>
        </w:numPr>
        <w:ind w:left="720" w:hanging="360"/>
        <w:rPr>
          <w:u w:val="none"/>
        </w:rPr>
      </w:pPr>
      <w:r w:rsidDel="00000000" w:rsidR="00000000" w:rsidRPr="00000000">
        <w:rPr>
          <w:rtl w:val="0"/>
        </w:rPr>
        <w:t xml:space="preserve">Anything else?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ill San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ill Sans" w:cs="Gill Sans" w:eastAsia="Gill Sans" w:hAnsi="Gill Sans"/>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29" w:lineRule="auto"/>
      <w:ind w:right="41"/>
      <w:jc w:val="center"/>
    </w:pPr>
    <w:rPr>
      <w:rFonts w:ascii="Gill Sans" w:cs="Gill Sans" w:eastAsia="Gill Sans" w:hAnsi="Gill Sans"/>
      <w:b w:val="1"/>
      <w:bCs w:val="1"/>
      <w:sz w:val="28"/>
      <w:szCs w:val="28"/>
    </w:rPr>
  </w:style>
  <w:style w:type="paragraph" w:styleId="Heading2">
    <w:name w:val="heading 2"/>
    <w:basedOn w:val="Normal"/>
    <w:next w:val="Normal"/>
    <w:pPr>
      <w:keepNext w:val="1"/>
      <w:keepLines w:val="1"/>
      <w:spacing w:line="229" w:lineRule="auto"/>
      <w:ind w:right="41"/>
    </w:pPr>
    <w:rPr>
      <w:rFonts w:ascii="Gill Sans" w:cs="Gill Sans" w:eastAsia="Gill Sans" w:hAnsi="Gill Sans"/>
      <w:b w:val="1"/>
      <w:bCs w:val="1"/>
      <w:color w:val="666666"/>
      <w:sz w:val="24"/>
      <w:szCs w:val="24"/>
    </w:rPr>
  </w:style>
  <w:style w:type="paragraph" w:styleId="Heading3">
    <w:name w:val="heading 3"/>
    <w:basedOn w:val="Normal"/>
    <w:next w:val="Normal"/>
    <w:pPr>
      <w:keepNext w:val="1"/>
      <w:keepLines w:val="1"/>
      <w:spacing w:line="229" w:lineRule="auto"/>
      <w:ind w:left="1440" w:right="41" w:hanging="360"/>
    </w:pPr>
    <w:rPr>
      <w:rFonts w:ascii="Nunito" w:cs="Nunito" w:eastAsia="Nunito" w:hAnsi="Nunito"/>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GillSans-regular.ttf"/><Relationship Id="rId6" Type="http://schemas.openxmlformats.org/officeDocument/2006/relationships/font" Target="fonts/Gill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