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ceph使用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规范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2017年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月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修改记录</w:t>
      </w:r>
    </w:p>
    <w:tbl>
      <w:tblPr>
        <w:tblStyle w:val="10"/>
        <w:tblpPr w:leftFromText="180" w:rightFromText="180" w:vertAnchor="text" w:horzAnchor="page" w:tblpX="1893" w:tblpY="625"/>
        <w:tblOverlap w:val="never"/>
        <w:tblW w:w="8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721"/>
        <w:gridCol w:w="2164"/>
        <w:gridCol w:w="1298"/>
        <w:gridCol w:w="1370"/>
        <w:gridCol w:w="966"/>
        <w:gridCol w:w="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72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编号</w:t>
            </w:r>
          </w:p>
        </w:tc>
        <w:tc>
          <w:tcPr>
            <w:tcW w:w="72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版本</w:t>
            </w:r>
          </w:p>
        </w:tc>
        <w:tc>
          <w:tcPr>
            <w:tcW w:w="216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描述</w:t>
            </w:r>
          </w:p>
        </w:tc>
        <w:tc>
          <w:tcPr>
            <w:tcW w:w="12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日期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制定</w:t>
            </w: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/修订人</w:t>
            </w:r>
          </w:p>
        </w:tc>
        <w:tc>
          <w:tcPr>
            <w:tcW w:w="9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审核</w:t>
            </w: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人</w:t>
            </w:r>
          </w:p>
        </w:tc>
        <w:tc>
          <w:tcPr>
            <w:tcW w:w="109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2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72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V1.0</w:t>
            </w:r>
          </w:p>
        </w:tc>
        <w:tc>
          <w:tcPr>
            <w:tcW w:w="216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新建文档</w:t>
            </w:r>
          </w:p>
        </w:tc>
        <w:tc>
          <w:tcPr>
            <w:tcW w:w="12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20171116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丹金海</w:t>
            </w:r>
          </w:p>
        </w:tc>
        <w:tc>
          <w:tcPr>
            <w:tcW w:w="9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钱德军</w:t>
            </w:r>
          </w:p>
        </w:tc>
        <w:tc>
          <w:tcPr>
            <w:tcW w:w="109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</w:t>
            </w:r>
          </w:p>
        </w:tc>
      </w:tr>
    </w:tbl>
    <w:p>
      <w:pPr>
        <w:spacing w:line="360" w:lineRule="auto"/>
        <w:jc w:val="both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rPr>
          <w:rFonts w:hint="eastAsia" w:ascii="微软雅黑" w:hAnsi="微软雅黑" w:eastAsia="微软雅黑" w:cs="微软雅黑"/>
        </w:rPr>
      </w:pPr>
    </w:p>
    <w:p>
      <w:pPr>
        <w:pStyle w:val="5"/>
        <w:spacing w:line="360" w:lineRule="auto"/>
        <w:ind w:firstLine="0"/>
        <w:jc w:val="both"/>
        <w:rPr>
          <w:rFonts w:hint="eastAsia" w:ascii="微软雅黑" w:hAnsi="微软雅黑" w:eastAsia="微软雅黑" w:cs="微软雅黑"/>
        </w:rPr>
      </w:pPr>
    </w:p>
    <w:sdt>
      <w:sdtPr>
        <w:rPr>
          <w:rFonts w:ascii="宋体" w:hAnsi="宋体" w:eastAsia="宋体"/>
          <w:sz w:val="21"/>
        </w:rPr>
        <w:id w:val="14747439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</w:t>
          </w:r>
          <w:r>
            <w:rPr>
              <w:rFonts w:hint="eastAsia" w:ascii="宋体" w:hAnsi="宋体" w:eastAsia="宋体"/>
              <w:sz w:val="21"/>
              <w:lang w:val="en-US" w:eastAsia="zh-CN"/>
            </w:rPr>
            <w:t xml:space="preserve"> </w:t>
          </w:r>
          <w:r>
            <w:rPr>
              <w:rFonts w:ascii="宋体" w:hAnsi="宋体" w:eastAsia="宋体"/>
              <w:sz w:val="21"/>
            </w:rPr>
            <w:t>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_Toc7632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4b7d6b40-8cc4-4bc1-a0f7-968f2ce461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 xml:space="preserve">１ </w:t>
              </w:r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引言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e36a8cd4-1e89-486d-939b-181234e3f3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１.１ </w:t>
              </w:r>
              <w:r>
                <w:rPr>
                  <w:rFonts w:hint="eastAsia" w:ascii="Arial" w:hAnsi="Arial" w:eastAsia="微软雅黑" w:cstheme="minorBidi"/>
                </w:rPr>
                <w:t>文档目的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b7a403e7-b652-4cfe-aebe-f0c7623595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１.２ </w:t>
              </w:r>
              <w:r>
                <w:rPr>
                  <w:rFonts w:hint="eastAsia" w:ascii="Arial" w:hAnsi="Arial" w:eastAsia="微软雅黑" w:cstheme="minorBidi"/>
                </w:rPr>
                <w:t>适用对象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caa37225-c751-44cd-a549-7ecd037efc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１.３ </w:t>
              </w:r>
              <w:r>
                <w:rPr>
                  <w:rFonts w:hint="eastAsia" w:ascii="Arial" w:hAnsi="Arial" w:eastAsia="微软雅黑" w:cstheme="minorBidi"/>
                </w:rPr>
                <w:t>适用范围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_Toc12918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4de40366-b3f8-4e6f-b3e8-81d8711cf8d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 xml:space="preserve">２ </w:t>
              </w:r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使用规范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6cc06eff-842c-4459-9ced-570a20c57f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２.１ </w:t>
              </w:r>
              <w:r>
                <w:rPr>
                  <w:rFonts w:hint="eastAsia" w:ascii="Arial" w:hAnsi="Arial" w:eastAsia="微软雅黑" w:cstheme="minorBidi"/>
                </w:rPr>
                <w:t>使用方式：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cb498fbc-ab0c-405e-99b3-1f0c500f2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２.２ </w:t>
              </w:r>
              <w:r>
                <w:rPr>
                  <w:rFonts w:hint="eastAsia" w:ascii="Arial" w:hAnsi="Arial" w:eastAsia="微软雅黑" w:cstheme="minorBidi"/>
                </w:rPr>
                <w:t>存储文件类型及大小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b362010f-4fc8-43d0-ba2e-9551b27587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２.３ </w:t>
              </w:r>
              <w:r>
                <w:rPr>
                  <w:rFonts w:hint="eastAsia" w:ascii="Arial" w:hAnsi="Arial" w:eastAsia="微软雅黑" w:cstheme="minorBidi"/>
                </w:rPr>
                <w:t>业务场景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de20708d-d286-4935-afb0-e73e61697c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２.４ </w:t>
              </w:r>
              <w:r>
                <w:rPr>
                  <w:rFonts w:hint="eastAsia" w:ascii="Arial" w:hAnsi="Arial" w:eastAsia="微软雅黑" w:cstheme="minorBidi"/>
                </w:rPr>
                <w:t>预览加载方式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26363322-1f13-4a5f-85e5-b1149f2d51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２.５ </w:t>
              </w:r>
              <w:r>
                <w:rPr>
                  <w:rFonts w:hint="eastAsia" w:ascii="Arial" w:hAnsi="Arial" w:eastAsia="微软雅黑" w:cstheme="minorBidi"/>
                </w:rPr>
                <w:t>分项目申请ceph帐号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9ac59651-5b79-481b-bdad-03be3666f6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２.６ </w:t>
              </w:r>
              <w:r>
                <w:rPr>
                  <w:rFonts w:hint="eastAsia" w:ascii="Arial" w:hAnsi="Arial" w:eastAsia="微软雅黑" w:cstheme="minorBidi"/>
                </w:rPr>
                <w:t>目录层次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395"/>
              <w:placeholder>
                <w:docPart w:val="{69128a12-0bbb-4fb9-9124-df73743212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２.７ </w:t>
              </w:r>
              <w:r>
                <w:rPr>
                  <w:rFonts w:hint="eastAsia" w:ascii="Arial" w:hAnsi="Arial" w:eastAsia="微软雅黑" w:cstheme="minorBidi"/>
                </w:rPr>
                <w:t>需求审核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</w:sdtContent>
    </w:sdt>
    <w:p>
      <w:pPr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pStyle w:val="2"/>
        <w:tabs>
          <w:tab w:val="left" w:pos="420"/>
        </w:tabs>
        <w:ind w:left="425" w:leftChars="0" w:hanging="425"/>
        <w:rPr>
          <w:rFonts w:hint="eastAsia" w:eastAsia="微软雅黑" w:asciiTheme="minorAscii" w:hAnsiTheme="minorAscii"/>
          <w:sz w:val="32"/>
          <w:lang w:val="en-US" w:eastAsia="zh-CN"/>
        </w:rPr>
      </w:pPr>
      <w:bookmarkStart w:id="0" w:name="_Toc7914"/>
      <w:bookmarkStart w:id="1" w:name="_Toc301470983"/>
      <w:r>
        <w:rPr>
          <w:rFonts w:hint="eastAsia" w:eastAsia="微软雅黑" w:asciiTheme="minorAscii" w:hAnsiTheme="minorAscii"/>
          <w:sz w:val="32"/>
          <w:lang w:val="en-US" w:eastAsia="zh-CN"/>
        </w:rPr>
        <w:t xml:space="preserve"> </w:t>
      </w:r>
      <w:bookmarkStart w:id="2" w:name="_Toc29698"/>
      <w:bookmarkStart w:id="3" w:name="_Toc21240"/>
      <w:bookmarkStart w:id="4" w:name="_Toc7632"/>
      <w:bookmarkStart w:id="5" w:name="_Toc4011"/>
      <w:bookmarkStart w:id="6" w:name="_Toc3238"/>
      <w:r>
        <w:rPr>
          <w:rFonts w:hint="eastAsia" w:eastAsia="微软雅黑" w:asciiTheme="minorAscii" w:hAnsiTheme="minorAscii"/>
          <w:sz w:val="32"/>
          <w:lang w:val="en-US" w:eastAsia="zh-CN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lang w:val="en-US" w:eastAsia="zh-CN"/>
        </w:rPr>
      </w:pPr>
      <w:bookmarkStart w:id="7" w:name="_Toc301356266"/>
      <w:bookmarkStart w:id="8" w:name="_Toc301470984"/>
      <w:bookmarkStart w:id="9" w:name="_Toc13628552"/>
      <w:bookmarkStart w:id="10" w:name="_Toc38115288"/>
      <w:bookmarkStart w:id="11" w:name="_Toc22998"/>
      <w:r>
        <w:rPr>
          <w:rFonts w:hint="eastAsia" w:eastAsia="微软雅黑"/>
          <w:lang w:val="en-US" w:eastAsia="zh-CN"/>
        </w:rPr>
        <w:t xml:space="preserve"> </w:t>
      </w:r>
      <w:bookmarkStart w:id="12" w:name="_Toc17246"/>
      <w:bookmarkStart w:id="13" w:name="_Toc9962"/>
      <w:bookmarkStart w:id="14" w:name="_Toc18559"/>
      <w:bookmarkStart w:id="15" w:name="_Toc20903"/>
      <w:bookmarkStart w:id="16" w:name="_Toc10616"/>
      <w:r>
        <w:rPr>
          <w:rFonts w:hint="eastAsia" w:eastAsia="微软雅黑"/>
          <w:lang w:val="en-US" w:eastAsia="zh-CN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本文制定统一ceph使用规范，规范ceph使用，以保证线上ceph环境的安全稳定。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17" w:name="_Toc301356265"/>
      <w:bookmarkStart w:id="18" w:name="_Toc15048"/>
      <w:bookmarkStart w:id="19" w:name="_Toc38115287"/>
      <w:bookmarkStart w:id="20" w:name="_Toc301470985"/>
      <w:r>
        <w:rPr>
          <w:rFonts w:hint="eastAsia" w:eastAsia="微软雅黑"/>
          <w:szCs w:val="22"/>
          <w:lang w:val="en-US" w:eastAsia="zh-CN"/>
        </w:rPr>
        <w:t xml:space="preserve"> </w:t>
      </w:r>
      <w:bookmarkStart w:id="21" w:name="_Toc12628"/>
      <w:bookmarkStart w:id="22" w:name="_Toc4777"/>
      <w:bookmarkStart w:id="23" w:name="_Toc20759"/>
      <w:bookmarkStart w:id="24" w:name="_Toc14873"/>
      <w:bookmarkStart w:id="25" w:name="_Toc14563"/>
      <w:r>
        <w:rPr>
          <w:rFonts w:hint="eastAsia" w:eastAsia="微软雅黑"/>
          <w:szCs w:val="22"/>
          <w:lang w:val="en-US" w:eastAsia="zh-CN"/>
        </w:rPr>
        <w:t>适用对象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本文档适用于所有开发人员、运维人员等相关技术人员使用。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26" w:name="_Toc6395"/>
      <w:r>
        <w:rPr>
          <w:rFonts w:hint="eastAsia" w:eastAsia="微软雅黑"/>
          <w:szCs w:val="22"/>
          <w:lang w:val="en-US" w:eastAsia="zh-CN"/>
        </w:rPr>
        <w:t xml:space="preserve"> </w:t>
      </w:r>
      <w:bookmarkStart w:id="27" w:name="_Toc15276"/>
      <w:bookmarkStart w:id="28" w:name="_Toc27733"/>
      <w:bookmarkStart w:id="29" w:name="_Toc19014"/>
      <w:bookmarkStart w:id="30" w:name="_Toc12727"/>
      <w:bookmarkStart w:id="31" w:name="_Toc20215"/>
      <w:r>
        <w:rPr>
          <w:rFonts w:hint="eastAsia" w:eastAsia="微软雅黑"/>
          <w:szCs w:val="22"/>
          <w:lang w:val="en-US" w:eastAsia="zh-CN"/>
        </w:rPr>
        <w:t>适用范围</w:t>
      </w:r>
      <w:bookmarkEnd w:id="26"/>
      <w:bookmarkEnd w:id="27"/>
      <w:bookmarkEnd w:id="28"/>
      <w:bookmarkEnd w:id="29"/>
      <w:bookmarkEnd w:id="30"/>
      <w:bookmarkEnd w:id="31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本文档适用于 OA 系统、站点容器系统及其它线上系统/服务。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tabs>
          <w:tab w:val="left" w:pos="420"/>
        </w:tabs>
        <w:ind w:left="425" w:leftChars="0" w:hanging="425"/>
        <w:rPr>
          <w:rFonts w:hint="eastAsia" w:eastAsia="微软雅黑" w:asciiTheme="minorAscii" w:hAnsiTheme="minorAscii"/>
          <w:sz w:val="32"/>
          <w:szCs w:val="22"/>
          <w:lang w:val="en-US" w:eastAsia="zh-CN"/>
        </w:rPr>
      </w:pPr>
      <w:bookmarkStart w:id="32" w:name="_Toc12918"/>
      <w:bookmarkStart w:id="33" w:name="_Toc746"/>
      <w:bookmarkStart w:id="34" w:name="_Toc30282"/>
      <w:r>
        <w:rPr>
          <w:rFonts w:hint="eastAsia" w:eastAsia="微软雅黑" w:asciiTheme="minorAscii" w:hAnsiTheme="minorAscii"/>
          <w:sz w:val="32"/>
          <w:szCs w:val="22"/>
          <w:lang w:val="en-US" w:eastAsia="zh-CN"/>
        </w:rPr>
        <w:t>使用规范</w:t>
      </w:r>
      <w:bookmarkEnd w:id="32"/>
      <w:bookmarkEnd w:id="33"/>
      <w:bookmarkEnd w:id="34"/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35" w:name="_Toc10067"/>
      <w:bookmarkStart w:id="36" w:name="_Toc13410"/>
      <w:bookmarkStart w:id="37" w:name="_Toc5397"/>
      <w:r>
        <w:rPr>
          <w:rFonts w:hint="eastAsia" w:eastAsia="微软雅黑"/>
          <w:szCs w:val="22"/>
          <w:lang w:val="en-US" w:eastAsia="zh-CN"/>
        </w:rPr>
        <w:t>使用方式：</w:t>
      </w:r>
      <w:bookmarkEnd w:id="35"/>
      <w:bookmarkEnd w:id="36"/>
      <w:bookmarkEnd w:id="37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目前仅开放Rados gateway方式给应用调用。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38" w:name="_Toc18639"/>
      <w:bookmarkStart w:id="39" w:name="_Toc32674"/>
      <w:bookmarkStart w:id="40" w:name="_Toc2801"/>
      <w:r>
        <w:rPr>
          <w:rFonts w:hint="eastAsia" w:eastAsia="微软雅黑"/>
          <w:szCs w:val="22"/>
          <w:lang w:val="en-US" w:eastAsia="zh-CN"/>
        </w:rPr>
        <w:t>存储文件类型及大小</w:t>
      </w:r>
      <w:bookmarkEnd w:id="38"/>
      <w:bookmarkEnd w:id="39"/>
      <w:bookmarkEnd w:id="40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大小：100M以下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Office格式支持:XLS（xls）、XLSX（xlsx）、WPS(wps)、PPT（ppt）、PPTX（pptx）、DOC (doc)、DOCX（docx）、ET(et)、DPS(dps)；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文本格式支持：TXT(txt)、PDF(pdf)、HTML(html)、HTM(htm)、HLP(hlp)、DLL(dll)、VSDX(vsdx)、XMIND(xmind)、MD(md)、CHM(chm)；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压缩格式支持：ZIP(zip)、RAR(rar)、JAR(jar)；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图片格式支持：PSD(psd)、PNG(png)、PIC(pic)、JPG(jpg)、ICO(ico)、GIF(gif)、BMP(bmp)、EPS(eps)、JPEG(jpeg) ；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待定：rp、vsd视频等格式；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禁止上传可执行文件；目前禁止视频文件上传（以后是否开放视情况而定）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41" w:name="_Toc26998"/>
      <w:bookmarkStart w:id="42" w:name="_Toc14371"/>
      <w:bookmarkStart w:id="43" w:name="_Toc8867"/>
      <w:r>
        <w:rPr>
          <w:rFonts w:hint="eastAsia" w:eastAsia="微软雅黑"/>
          <w:szCs w:val="22"/>
          <w:lang w:val="en-US" w:eastAsia="zh-CN"/>
        </w:rPr>
        <w:t>业务场景</w:t>
      </w:r>
      <w:bookmarkEnd w:id="41"/>
      <w:bookmarkEnd w:id="42"/>
      <w:bookmarkEnd w:id="43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主要应用于内部文档共享。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备注：关于产品图片有专门的线上图片服务器及原图服务器可供使用。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44" w:name="_Toc23294"/>
      <w:bookmarkStart w:id="45" w:name="_Toc3184"/>
      <w:bookmarkStart w:id="46" w:name="_Toc29871"/>
      <w:r>
        <w:rPr>
          <w:rFonts w:hint="eastAsia" w:eastAsia="微软雅黑"/>
          <w:szCs w:val="22"/>
          <w:lang w:val="en-US" w:eastAsia="zh-CN"/>
        </w:rPr>
        <w:t>预览加载方式</w:t>
      </w:r>
      <w:bookmarkEnd w:id="44"/>
      <w:bookmarkEnd w:id="45"/>
      <w:bookmarkEnd w:id="46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延时加载。可分页文档要采用分页式延时加载，减小带宽压力。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47" w:name="_Toc9039"/>
      <w:bookmarkStart w:id="48" w:name="_Toc7767"/>
      <w:bookmarkStart w:id="49" w:name="_Toc13976"/>
      <w:r>
        <w:rPr>
          <w:rFonts w:hint="eastAsia" w:eastAsia="微软雅黑"/>
          <w:szCs w:val="22"/>
          <w:lang w:val="en-US" w:eastAsia="zh-CN"/>
        </w:rPr>
        <w:t>分项目申请ceph帐号</w:t>
      </w:r>
      <w:bookmarkEnd w:id="47"/>
      <w:bookmarkEnd w:id="48"/>
      <w:bookmarkEnd w:id="49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目前使用ceph的项目有协同系统，后面如果有项目需要使用ceph单独申请帐号。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50" w:name="_Toc27917"/>
      <w:bookmarkStart w:id="51" w:name="_Toc19728"/>
      <w:r>
        <w:rPr>
          <w:rFonts w:hint="eastAsia" w:eastAsia="微软雅黑"/>
          <w:szCs w:val="22"/>
          <w:lang w:val="en-US" w:eastAsia="zh-CN"/>
        </w:rPr>
        <w:t>目录层次</w:t>
      </w:r>
      <w:bookmarkEnd w:id="50"/>
      <w:bookmarkEnd w:id="51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尽可能减少根目录的文件存放数，目录层次建议不要超过3层，不使用中文目录。</w:t>
      </w:r>
    </w:p>
    <w:p>
      <w:pPr>
        <w:pStyle w:val="4"/>
        <w:tabs>
          <w:tab w:val="left" w:pos="420"/>
        </w:tabs>
        <w:spacing w:beforeLines="0" w:beforeAutospacing="0" w:afterLines="0" w:afterAutospacing="0"/>
        <w:ind w:left="567" w:leftChars="0" w:hanging="567" w:firstLineChars="0"/>
        <w:rPr>
          <w:rFonts w:hint="eastAsia" w:eastAsia="微软雅黑"/>
          <w:szCs w:val="22"/>
          <w:lang w:val="en-US" w:eastAsia="zh-CN"/>
        </w:rPr>
      </w:pPr>
      <w:bookmarkStart w:id="52" w:name="_Toc18353"/>
      <w:bookmarkStart w:id="53" w:name="_Toc8261"/>
      <w:bookmarkStart w:id="54" w:name="_Toc5434"/>
      <w:r>
        <w:rPr>
          <w:rFonts w:hint="eastAsia" w:eastAsia="微软雅黑"/>
          <w:szCs w:val="22"/>
          <w:lang w:val="en-US" w:eastAsia="zh-CN"/>
        </w:rPr>
        <w:t>需求审核</w:t>
      </w:r>
      <w:bookmarkEnd w:id="52"/>
      <w:bookmarkEnd w:id="53"/>
      <w:bookmarkEnd w:id="54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公司未来的有关ceph使用的项目需求，为方便运维对该类项目提供意见，提高项目可行性，请项目团队在需求评审阶段邀请运维参与。</w:t>
      </w:r>
      <w:bookmarkStart w:id="55" w:name="_GoBack"/>
      <w:bookmarkEnd w:id="5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F25"/>
    <w:multiLevelType w:val="multilevel"/>
    <w:tmpl w:val="59224F25"/>
    <w:lvl w:ilvl="0" w:tentative="0">
      <w:start w:val="1"/>
      <w:numFmt w:val="decimalFullWidth"/>
      <w:pStyle w:val="2"/>
      <w:lvlText w:val="%1"/>
      <w:lvlJc w:val="left"/>
      <w:pPr>
        <w:ind w:left="432" w:leftChars="0" w:hanging="432" w:firstLineChars="0"/>
      </w:pPr>
      <w:rPr>
        <w:rFonts w:hint="eastAsia" w:ascii="微软雅黑" w:hAnsi="微软雅黑" w:eastAsia="微软雅黑" w:cs="宋体"/>
        <w:sz w:val="32"/>
      </w:rPr>
    </w:lvl>
    <w:lvl w:ilvl="1" w:tentative="0">
      <w:start w:val="1"/>
      <w:numFmt w:val="decimalFullWidth"/>
      <w:pStyle w:val="4"/>
      <w:lvlText w:val="%1.%2"/>
      <w:lvlJc w:val="left"/>
      <w:pPr>
        <w:ind w:left="575" w:leftChars="0" w:hanging="575" w:firstLineChars="0"/>
      </w:pPr>
      <w:rPr>
        <w:rFonts w:hint="eastAsia" w:ascii="微软雅黑" w:hAnsi="微软雅黑" w:eastAsia="微软雅黑" w:cs="宋体"/>
        <w:sz w:val="28"/>
      </w:rPr>
    </w:lvl>
    <w:lvl w:ilvl="2" w:tentative="0">
      <w:start w:val="1"/>
      <w:numFmt w:val="decimalFullWidth"/>
      <w:lvlText w:val="%1.%2.%3"/>
      <w:lvlJc w:val="left"/>
      <w:pPr>
        <w:ind w:left="720" w:leftChars="0" w:hanging="720" w:firstLineChars="0"/>
      </w:pPr>
      <w:rPr>
        <w:rFonts w:hint="eastAsia" w:ascii="微软雅黑" w:hAnsi="微软雅黑" w:eastAsia="微软雅黑" w:cs="宋体"/>
        <w:sz w:val="24"/>
      </w:rPr>
    </w:lvl>
    <w:lvl w:ilvl="3" w:tentative="0">
      <w:start w:val="1"/>
      <w:numFmt w:val="decimalFullWidth"/>
      <w:lvlText w:val="%1.%2.%3.%4"/>
      <w:lvlJc w:val="left"/>
      <w:pPr>
        <w:ind w:left="864" w:leftChars="0" w:hanging="864" w:firstLineChars="0"/>
      </w:pPr>
      <w:rPr>
        <w:rFonts w:hint="eastAsia" w:ascii="微软雅黑" w:hAnsi="微软雅黑" w:eastAsia="微软雅黑" w:cs="宋体"/>
        <w:sz w:val="21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E4F5C"/>
    <w:rsid w:val="00094883"/>
    <w:rsid w:val="025E4F5C"/>
    <w:rsid w:val="03F45F9F"/>
    <w:rsid w:val="04461079"/>
    <w:rsid w:val="04915D83"/>
    <w:rsid w:val="11A85FE9"/>
    <w:rsid w:val="12FE1221"/>
    <w:rsid w:val="13EB377E"/>
    <w:rsid w:val="16297BBC"/>
    <w:rsid w:val="17ED5315"/>
    <w:rsid w:val="22727589"/>
    <w:rsid w:val="238303DC"/>
    <w:rsid w:val="25507BBC"/>
    <w:rsid w:val="25631A86"/>
    <w:rsid w:val="2A8E23C5"/>
    <w:rsid w:val="30DE2234"/>
    <w:rsid w:val="31576D95"/>
    <w:rsid w:val="3A1B68E3"/>
    <w:rsid w:val="3BB70CD7"/>
    <w:rsid w:val="3EF24DAD"/>
    <w:rsid w:val="41F8004A"/>
    <w:rsid w:val="449D4504"/>
    <w:rsid w:val="4E134EE5"/>
    <w:rsid w:val="4E5135B0"/>
    <w:rsid w:val="4FEE520A"/>
    <w:rsid w:val="523E4C6D"/>
    <w:rsid w:val="54C900BF"/>
    <w:rsid w:val="554C3F70"/>
    <w:rsid w:val="57425841"/>
    <w:rsid w:val="5993531D"/>
    <w:rsid w:val="59AF1F2C"/>
    <w:rsid w:val="5AB040E9"/>
    <w:rsid w:val="5AC5071A"/>
    <w:rsid w:val="5B9606BC"/>
    <w:rsid w:val="5BC620B9"/>
    <w:rsid w:val="5EC31B81"/>
    <w:rsid w:val="695F16E8"/>
    <w:rsid w:val="6A4F0574"/>
    <w:rsid w:val="6DEE1CE4"/>
    <w:rsid w:val="7368253F"/>
    <w:rsid w:val="75C235A3"/>
    <w:rsid w:val="76F53B46"/>
    <w:rsid w:val="7D825F2C"/>
    <w:rsid w:val="7EBF65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 w:line="288" w:lineRule="auto"/>
      <w:ind w:left="420"/>
    </w:p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/>
      <w:sz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6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customStyle="1" w:styleId="11">
    <w:name w:val="Reader's comments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kern w:val="0"/>
      <w:lang w:eastAsia="en-US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b7d6b40-8cc4-4bc1-a0f7-968f2ce461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d6b40-8cc4-4bc1-a0f7-968f2ce461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6a8cd4-1e89-486d-939b-181234e3f3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6a8cd4-1e89-486d-939b-181234e3f3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a403e7-b652-4cfe-aebe-f0c7623595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a403e7-b652-4cfe-aebe-f0c7623595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a37225-c751-44cd-a549-7ecd037efc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37225-c751-44cd-a549-7ecd037efc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40366-b3f8-4e6f-b3e8-81d8711cf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40366-b3f8-4e6f-b3e8-81d8711cf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06eff-842c-4459-9ced-570a20c57f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06eff-842c-4459-9ced-570a20c57f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498fbc-ab0c-405e-99b3-1f0c500f2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498fbc-ab0c-405e-99b3-1f0c500f2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62010f-4fc8-43d0-ba2e-9551b27587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62010f-4fc8-43d0-ba2e-9551b27587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20708d-d286-4935-afb0-e73e61697c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0708d-d286-4935-afb0-e73e61697c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363322-1f13-4a5f-85e5-b1149f2d5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363322-1f13-4a5f-85e5-b1149f2d5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c59651-5b79-481b-bdad-03be3666f6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c59651-5b79-481b-bdad-03be3666f6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28a12-0bbb-4fb9-9124-df73743212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28a12-0bbb-4fb9-9124-df73743212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2017-11-16T02:45:00Z</dcterms:created>
  <dc:creator>work_bruce</dc:creator>
  <cp:lastModifiedBy>李凯靖</cp:lastModifiedBy>
  <dcterms:modified xsi:type="dcterms:W3CDTF">2017-11-20T06:16:49Z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