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32"/>
          <w:szCs w:val="32"/>
        </w:rPr>
        <w:drawing>
          <wp:anchor allowOverlap="1" behindDoc="1" distB="0" distT="0" distL="0" distR="0" hidden="0" layoutInCell="1" locked="0" relativeHeight="0" simplePos="0">
            <wp:simplePos x="0" y="0"/>
            <wp:positionH relativeFrom="page">
              <wp:posOffset>8249759</wp:posOffset>
            </wp:positionH>
            <wp:positionV relativeFrom="page">
              <wp:posOffset>209550</wp:posOffset>
            </wp:positionV>
            <wp:extent cx="990600" cy="4953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sz w:val="32"/>
          <w:szCs w:val="32"/>
          <w:rtl w:val="0"/>
        </w:rPr>
        <w:t xml:space="preserve">Dashboard Design</w:t>
      </w:r>
      <w:r w:rsidDel="00000000" w:rsidR="00000000" w:rsidRPr="00000000">
        <w:rPr>
          <w:rFonts w:ascii="Times New Roman" w:cs="Times New Roman" w:eastAsia="Times New Roman" w:hAnsi="Times New Roman"/>
          <w:b w:val="1"/>
          <w:bCs w:val="1"/>
          <w:sz w:val="32"/>
          <w:szCs w:val="32"/>
        </w:rPr>
        <w:drawing>
          <wp:anchor allowOverlap="1" behindDoc="1" distB="0" distT="0" distL="0" distR="0" hidden="0" layoutInCell="1" locked="0" relativeHeight="0" simplePos="0">
            <wp:simplePos x="0" y="0"/>
            <wp:positionH relativeFrom="page">
              <wp:posOffset>6144734</wp:posOffset>
            </wp:positionH>
            <wp:positionV relativeFrom="page">
              <wp:posOffset>985540</wp:posOffset>
            </wp:positionV>
            <wp:extent cx="990600" cy="495300"/>
            <wp:effectExtent b="0" l="0" r="0" t="0"/>
            <wp:wrapNone/>
            <wp:docPr id="3" name="image2.png"/>
            <a:graphic>
              <a:graphicData uri="http://schemas.openxmlformats.org/drawingml/2006/picture">
                <pic:pic>
                  <pic:nvPicPr>
                    <pic:cNvPr id="0" name="image2.png"/>
                    <pic:cNvPicPr preferRelativeResize="0"/>
                  </pic:nvPicPr>
                  <pic:blipFill>
                    <a:blip r:embed="rId6"/>
                    <a:srcRect b="-100000" l="-225962" r="225962" t="100000"/>
                    <a:stretch>
                      <a:fillRect/>
                    </a:stretch>
                  </pic:blipFill>
                  <pic:spPr>
                    <a:xfrm>
                      <a:off x="0" y="0"/>
                      <a:ext cx="990600" cy="495300"/>
                    </a:xfrm>
                    <a:prstGeom prst="rect"/>
                    <a:ln/>
                  </pic:spPr>
                </pic:pic>
              </a:graphicData>
            </a:graphic>
          </wp:anchor>
        </w:drawing>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9e2f3" w:val="clear"/>
            <w:vAlign w:val="center"/>
          </w:tcPr>
          <w:p w:rsidR="00000000" w:rsidDel="00000000" w:rsidP="00000000" w:rsidRDefault="00000000" w:rsidRPr="00000000" w14:paraId="00000002">
            <w:pPr>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sz w:val="22"/>
                <w:szCs w:val="22"/>
              </w:rPr>
            </w:pPr>
            <w:r w:rsidDel="00000000" w:rsidR="00000000" w:rsidRPr="00000000">
              <w:rPr>
                <w:sz w:val="22"/>
                <w:szCs w:val="22"/>
                <w:rtl w:val="0"/>
              </w:rPr>
              <w:t xml:space="preserve">21-09-2026</w:t>
            </w:r>
          </w:p>
        </w:tc>
      </w:tr>
      <w:tr>
        <w:trPr>
          <w:cantSplit w:val="0"/>
          <w:tblHeader w:val="0"/>
        </w:trPr>
        <w:tc>
          <w:tcPr>
            <w:shd w:fill="d9e2f3" w:val="clear"/>
            <w:vAlign w:val="cente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2"/>
                <w:szCs w:val="22"/>
                <w:rtl w:val="0"/>
              </w:rPr>
              <w:t xml:space="preserve">Master of Computer Applications(MCA)</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22"/>
                <w:szCs w:val="22"/>
                <w:rtl w:val="0"/>
              </w:rPr>
              <w:t xml:space="preserve">Online Education Student Engagement, Performance &amp; Dropout Analysis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2"/>
                <w:szCs w:val="22"/>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2"/>
                <w:szCs w:val="22"/>
                <w:rtl w:val="0"/>
              </w:rPr>
              <w:t xml:space="preserve">5 Marks</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Fonts w:ascii="Times New Roman" w:cs="Times New Roman" w:eastAsia="Times New Roman" w:hAnsi="Times New Roman"/>
          <w:sz w:val="20"/>
          <w:szCs w:val="20"/>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Times New Roman" w:cs="Times New Roman" w:eastAsia="Times New Roman" w:hAnsi="Times New Roman"/>
          <w:b w:val="1"/>
          <w:bCs w:val="1"/>
          <w:sz w:val="26"/>
          <w:szCs w:val="26"/>
          <w:rtl w:val="0"/>
        </w:rPr>
        <w:t xml:space="preserve">Activity 1: Interactive and visually appealing dashboards</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Times New Roman" w:cs="Times New Roman" w:eastAsia="Times New Roman" w:hAnsi="Times New Roman"/>
          <w:sz w:val="20"/>
          <w:szCs w:val="20"/>
          <w:rtl w:val="0"/>
        </w:rPr>
        <w:t xml:space="preserve">Creating interactive and visually appealing dashboards involves a combination of thoughtful design, effective use of visual elements, and the incorporation of interactive features. The Power BI dashboard for this project (sushma.pbix) incorporates the following: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 and Intuitive Layout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Appropriate Visualizations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Colour and Theming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Interactive Filters and Slicers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Drill-Down Capabilities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Responsive Design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Visuals and Icons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of Infographics</w:t>
      </w:r>
    </w:p>
    <w:p w:rsidR="00000000" w:rsidDel="00000000" w:rsidP="00000000" w:rsidRDefault="00000000" w:rsidRPr="00000000" w14:paraId="00000016">
      <w:pPr>
        <w:spacing w:after="150" w:lineRule="auto"/>
        <w:rPr/>
      </w:pPr>
      <w:r w:rsidDel="00000000" w:rsidR="00000000" w:rsidRPr="00000000">
        <w:rPr>
          <w:rtl w:val="0"/>
        </w:rPr>
      </w:r>
    </w:p>
    <w:p w:rsidR="00000000" w:rsidDel="00000000" w:rsidP="00000000" w:rsidRDefault="00000000" w:rsidRPr="00000000" w14:paraId="00000017">
      <w:pPr>
        <w:spacing w:after="150" w:lineRule="auto"/>
        <w:rPr/>
      </w:pPr>
      <w:r w:rsidDel="00000000" w:rsidR="00000000" w:rsidRPr="00000000">
        <w:rPr>
          <w:rtl w:val="0"/>
        </w:rPr>
      </w:r>
    </w:p>
    <w:p w:rsidR="00000000" w:rsidDel="00000000" w:rsidP="00000000" w:rsidRDefault="00000000" w:rsidRPr="00000000" w14:paraId="00000018">
      <w:pPr>
        <w:spacing w:after="150" w:lineRule="auto"/>
        <w:rPr>
          <w:b w:val="1"/>
          <w:bCs w:val="1"/>
          <w:color w:val="2e74b5"/>
          <w:sz w:val="26"/>
          <w:szCs w:val="26"/>
        </w:rPr>
      </w:pPr>
      <w:r w:rsidDel="00000000" w:rsidR="00000000" w:rsidRPr="00000000">
        <w:rPr>
          <w:b w:val="1"/>
          <w:bCs w:val="1"/>
          <w:color w:val="2e74b5"/>
          <w:sz w:val="26"/>
          <w:szCs w:val="26"/>
          <w:rtl w:val="0"/>
        </w:rPr>
        <w:t xml:space="preserve">Dashboard : Online Education Analytics </w:t>
      </w:r>
    </w:p>
    <w:p w:rsidR="00000000" w:rsidDel="00000000" w:rsidP="00000000" w:rsidRDefault="00000000" w:rsidRPr="00000000" w14:paraId="00000019">
      <w:pPr>
        <w:spacing w:after="250" w:lineRule="auto"/>
        <w:jc w:val="center"/>
        <w:rPr/>
      </w:pPr>
      <w:r w:rsidDel="00000000" w:rsidR="00000000" w:rsidRPr="00000000">
        <w:rPr/>
        <w:drawing>
          <wp:inline distB="114300" distT="114300" distL="114300" distR="114300">
            <wp:extent cx="7600950" cy="4314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009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rFonts w:ascii="Times New Roman" w:cs="Times New Roman" w:eastAsia="Times New Roman" w:hAnsi="Times New Roman"/>
          <w:b w:val="1"/>
          <w:bCs w:val="1"/>
          <w:i w:val="1"/>
          <w:iCs w:val="1"/>
          <w:sz w:val="20"/>
          <w:szCs w:val="20"/>
          <w:rtl w:val="0"/>
        </w:rPr>
        <w:t xml:space="preserve">Note: Major outcomes from the dashboard</w:t>
      </w:r>
      <w:r w:rsidDel="00000000" w:rsidR="00000000" w:rsidRPr="00000000">
        <w:rPr>
          <w:rtl w:val="0"/>
        </w:rPr>
      </w:r>
    </w:p>
    <w:p w:rsidR="00000000" w:rsidDel="00000000" w:rsidP="00000000" w:rsidRDefault="00000000" w:rsidRPr="00000000" w14:paraId="0000001B">
      <w:pPr>
        <w:spacing w:after="150" w:lineRule="auto"/>
        <w:ind w:left="360" w:firstLine="0"/>
        <w:rPr/>
      </w:pPr>
      <w:r w:rsidDel="00000000" w:rsidR="00000000" w:rsidRPr="00000000">
        <w:rPr>
          <w:rFonts w:ascii="Times New Roman" w:cs="Times New Roman" w:eastAsia="Times New Roman" w:hAnsi="Times New Roman"/>
          <w:b w:val="1"/>
          <w:bCs w:val="1"/>
          <w:sz w:val="22"/>
          <w:szCs w:val="22"/>
          <w:rtl w:val="0"/>
        </w:rPr>
        <w:t xml:space="preserve">1. Total Reach: </w:t>
      </w:r>
      <w:r w:rsidDel="00000000" w:rsidR="00000000" w:rsidRPr="00000000">
        <w:rPr>
          <w:rFonts w:ascii="Times New Roman" w:cs="Times New Roman" w:eastAsia="Times New Roman" w:hAnsi="Times New Roman"/>
          <w:sz w:val="22"/>
          <w:szCs w:val="22"/>
          <w:rtl w:val="0"/>
        </w:rPr>
        <w:t xml:space="preserve">The dashboard covers 28,785 unique students, giving a broad, representative view of engagement and performance across the online course.</w:t>
      </w:r>
      <w:r w:rsidDel="00000000" w:rsidR="00000000" w:rsidRPr="00000000">
        <w:rPr>
          <w:rtl w:val="0"/>
        </w:rPr>
      </w:r>
    </w:p>
    <w:p w:rsidR="00000000" w:rsidDel="00000000" w:rsidP="00000000" w:rsidRDefault="00000000" w:rsidRPr="00000000" w14:paraId="0000001C">
      <w:pPr>
        <w:spacing w:after="150" w:lineRule="auto"/>
        <w:ind w:left="360" w:firstLine="0"/>
        <w:rPr/>
      </w:pPr>
      <w:r w:rsidDel="00000000" w:rsidR="00000000" w:rsidRPr="00000000">
        <w:rPr>
          <w:rFonts w:ascii="Times New Roman" w:cs="Times New Roman" w:eastAsia="Times New Roman" w:hAnsi="Times New Roman"/>
          <w:b w:val="1"/>
          <w:bCs w:val="1"/>
          <w:sz w:val="22"/>
          <w:szCs w:val="22"/>
          <w:rtl w:val="0"/>
        </w:rPr>
        <w:t xml:space="preserve">2. Overall Performance: </w:t>
      </w:r>
      <w:r w:rsidDel="00000000" w:rsidR="00000000" w:rsidRPr="00000000">
        <w:rPr>
          <w:rFonts w:ascii="Times New Roman" w:cs="Times New Roman" w:eastAsia="Times New Roman" w:hAnsi="Times New Roman"/>
          <w:sz w:val="22"/>
          <w:szCs w:val="22"/>
          <w:rtl w:val="0"/>
        </w:rPr>
        <w:t xml:space="preserve">The average assessment score across all students is 72.8, with a wide spread from Low to High engagement cohorts (66.1 to 78.1), showing engagement is a strong performance signal.</w:t>
      </w:r>
      <w:r w:rsidDel="00000000" w:rsidR="00000000" w:rsidRPr="00000000">
        <w:rPr>
          <w:rtl w:val="0"/>
        </w:rPr>
      </w:r>
    </w:p>
    <w:p w:rsidR="00000000" w:rsidDel="00000000" w:rsidP="00000000" w:rsidRDefault="00000000" w:rsidRPr="00000000" w14:paraId="0000001D">
      <w:pPr>
        <w:spacing w:after="150" w:lineRule="auto"/>
        <w:ind w:left="360" w:firstLine="0"/>
        <w:rPr/>
      </w:pPr>
      <w:r w:rsidDel="00000000" w:rsidR="00000000" w:rsidRPr="00000000">
        <w:rPr>
          <w:rFonts w:ascii="Times New Roman" w:cs="Times New Roman" w:eastAsia="Times New Roman" w:hAnsi="Times New Roman"/>
          <w:b w:val="1"/>
          <w:bCs w:val="1"/>
          <w:sz w:val="22"/>
          <w:szCs w:val="22"/>
          <w:rtl w:val="0"/>
        </w:rPr>
        <w:t xml:space="preserve">3. Dropout Concentration: </w:t>
      </w:r>
      <w:r w:rsidDel="00000000" w:rsidR="00000000" w:rsidRPr="00000000">
        <w:rPr>
          <w:rFonts w:ascii="Times New Roman" w:cs="Times New Roman" w:eastAsia="Times New Roman" w:hAnsi="Times New Roman"/>
          <w:sz w:val="22"/>
          <w:szCs w:val="22"/>
          <w:rtl w:val="0"/>
        </w:rPr>
        <w:t xml:space="preserve">Dropout rate is heavily concentrated among Low-engagement students at 47.0%, compared to just 14.5% for High-engagement students — nearly a 3x difference.</w:t>
      </w:r>
      <w:r w:rsidDel="00000000" w:rsidR="00000000" w:rsidRPr="00000000">
        <w:rPr>
          <w:rtl w:val="0"/>
        </w:rPr>
      </w:r>
    </w:p>
    <w:p w:rsidR="00000000" w:rsidDel="00000000" w:rsidP="00000000" w:rsidRDefault="00000000" w:rsidRPr="00000000" w14:paraId="0000001E">
      <w:pPr>
        <w:spacing w:after="150" w:lineRule="auto"/>
        <w:ind w:left="360" w:firstLine="0"/>
        <w:rPr/>
      </w:pPr>
      <w:r w:rsidDel="00000000" w:rsidR="00000000" w:rsidRPr="00000000">
        <w:rPr>
          <w:rFonts w:ascii="Times New Roman" w:cs="Times New Roman" w:eastAsia="Times New Roman" w:hAnsi="Times New Roman"/>
          <w:b w:val="1"/>
          <w:bCs w:val="1"/>
          <w:sz w:val="22"/>
          <w:szCs w:val="22"/>
          <w:rtl w:val="0"/>
        </w:rPr>
        <w:t xml:space="preserve">4. Engagement Drives Score: </w:t>
      </w:r>
      <w:r w:rsidDel="00000000" w:rsidR="00000000" w:rsidRPr="00000000">
        <w:rPr>
          <w:rFonts w:ascii="Times New Roman" w:cs="Times New Roman" w:eastAsia="Times New Roman" w:hAnsi="Times New Roman"/>
          <w:sz w:val="22"/>
          <w:szCs w:val="22"/>
          <w:rtl w:val="0"/>
        </w:rPr>
        <w:t xml:space="preserve">Average score rises steadily with click volume, from 66 for students with under 500 clicks to 80 for students with over 3,000 clicks, confirming VLE activity as a leading indicator of success.</w:t>
      </w:r>
      <w:r w:rsidDel="00000000" w:rsidR="00000000" w:rsidRPr="00000000">
        <w:rPr>
          <w:rtl w:val="0"/>
        </w:rPr>
      </w:r>
    </w:p>
    <w:p w:rsidR="00000000" w:rsidDel="00000000" w:rsidP="00000000" w:rsidRDefault="00000000" w:rsidRPr="00000000" w14:paraId="0000001F">
      <w:pPr>
        <w:spacing w:after="150" w:lineRule="auto"/>
        <w:ind w:left="360" w:firstLine="0"/>
        <w:rPr/>
      </w:pPr>
      <w:r w:rsidDel="00000000" w:rsidR="00000000" w:rsidRPr="00000000">
        <w:rPr>
          <w:rFonts w:ascii="Times New Roman" w:cs="Times New Roman" w:eastAsia="Times New Roman" w:hAnsi="Times New Roman"/>
          <w:b w:val="1"/>
          <w:bCs w:val="1"/>
          <w:sz w:val="22"/>
          <w:szCs w:val="22"/>
          <w:rtl w:val="0"/>
        </w:rPr>
        <w:t xml:space="preserve">5. Regional &amp; Educational Spread: </w:t>
      </w:r>
      <w:r w:rsidDel="00000000" w:rsidR="00000000" w:rsidRPr="00000000">
        <w:rPr>
          <w:rFonts w:ascii="Times New Roman" w:cs="Times New Roman" w:eastAsia="Times New Roman" w:hAnsi="Times New Roman"/>
          <w:sz w:val="22"/>
          <w:szCs w:val="22"/>
          <w:rtl w:val="0"/>
        </w:rPr>
        <w:t xml:space="preserve">East Anglian, Scotland, and London regions have the largest student populations, while average score rises consistently with prior education level — from 66.1 (No Formal Quals) to 81.9 (Post Graduate Qualification).</w:t>
      </w: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