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6314064</wp:posOffset>
            </wp:positionH>
            <wp:positionV relativeFrom="page">
              <wp:posOffset>90190</wp:posOffset>
            </wp:positionV>
            <wp:extent cx="990600" cy="495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00"/>
        <w:tblGridChange w:id="0">
          <w:tblGrid>
            <w:gridCol w:w="2400"/>
            <w:gridCol w:w="69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Analyze student engagement and performance data from an online learning platform to identify at-risk students early and provide actionable insights that help improve academic outcomes and reduce dropout rates.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Covers SQL-based exploratory analysis and an interactive Power BI dashboard built on a single online-education dataset of ~32,593 student records (engagement, performance, demographics, and outcomes). Excludes real-time data pipelines and predictive machine-learning modeling, which are out of scope for this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Online learners often disengage or fall behind academically without any early warning, and institutions lack a consolidated way to connect engagement (VLE clicks), performance (assessment scores), and risk level across regions and educational backgrounds to spot struggling students in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Left unaddressed, this results in higher dropout/withdrawal rates, wasted enrollment effort for both students and institutions, and missed opportunities for timely intervention since instructors have no proactive, data-driven view of who is at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Clean and load the online education dataset into a relational database; write SQL queries to compute key metrics (average score, average clicks, pass/dropout counts, engagement/performance/risk distributions, click-band vs. score analysis, and regional/educational-background trends); then build an interactive Power BI dashboard that visualizes these insights for instructors and administrators.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KPI cards for total students, average score, average clicks, and pass/dropout counts; segmentation by engagement, performance, and risk level; click-volume band analysis linking engagement to outcomes; regional and educational-background comparisons; and clear surfacing of high-risk, dropout-prone student segments for early intervention.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00"/>
        <w:tblGridChange w:id="0">
          <w:tblGrid>
            <w:gridCol w:w="2200"/>
            <w:gridCol w:w="3400"/>
            <w:gridCol w:w="37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Specification/Allocation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Computing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CPU specifications, number of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Standard laptop/desktop, Intel i5 (or equivalent) or higher, 4+ cores — no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RAM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 GB minimum, 16 GB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Disk space for data, database, and dashboard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 GB free SSD/HDD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Frameworks/Tools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Core analysis and visualization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MySQL / PostgreSQL, Power BI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Supporting libraries for optional data cleaning/prep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Python (pandas, numpy) — optional, for pre-processing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IDE, query tools, 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MySQL Workbench / VS Code, Power BI Desktop,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Source, size,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online_education_dataset.csv — 32,593 student records, 14 columns (demographics, engagement, performance, outcomes), CSV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