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6382576</wp:posOffset>
            </wp:positionH>
            <wp:positionV relativeFrom="page">
              <wp:posOffset>137815</wp:posOffset>
            </wp:positionV>
            <wp:extent cx="990600" cy="495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21-09-2026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Master of Computer Applications(MCA)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Online Education Student Engagement, Performance &amp; Dropout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Exploration and Preprocessing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Identifies data sources, assesses quality issues like missing values and duplicates, and implements resolution plans to ensure accurate and reliable analysis.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00"/>
        <w:tblGridChange w:id="0">
          <w:tblGrid>
            <w:gridCol w:w="2600"/>
            <w:gridCol w:w="67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The dataset (online_education_dataset.csv) contains 32,593 student records with 14 attributes covering demographics (gender, region, highest_education, imd_band), engagement (total_clicks), performance (avg_score), derived categories (engagement_level, performance_level, risk_level), and outcomes (pass_flag, dropout_flag, final_result). It profiles learner behavior and outcomes on an online course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Identified 1,356 fully duplicate rows and 3,808 duplicate id_student entries (multiple course attempts per student), which were reviewed and de-duplicated. Missing values were found in imd_band (1,111), total_clicks (2,852), avg_score (5,866), engagement_level (2,852), performance_level (5,898), and risk_level (2,852) — these were addressed by removing records with no activity/assessment data at all and imputing/re-deriving categorical levels (engagement/performance/risk) from the corresponding numeric fields (total_clicks, avg_score) where the underlying value was present.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Used Power Query in Power BI to filter out incomplete records, sort students by engagement and risk level, pivot summary tables (e.g., students by region x engagement level), and create calculated columns such as click-volume bands (0-500, 500-1000, 1000-2000, 2000-3000, 3000+) and dropout-rate percentages by segment.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Type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Converted total_clicks and avg_score from text/float-with-nulls to proper numeric (decimal) types; standardized imd_band to a consistent percentage-range text format (correcting the inconsistent '10-20' entry to '10-20%'); converted pass_flag and dropout_flag from numeric 0/1 to Boolean/Yes-No fields for clearer reporting; set id_student as a whole-number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Column Splitting and 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Kept imd_band as a single categorical band field rather than splitting into separate lower/upper bound numeric columns, since the band format was sufficient for grouping. Merged pass_flag and dropout_flag logic together with final_result into a single derived 'Outcome Status' field (Pass / Fail / Withdrawn / Distinction) used consistently across visuals.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Built a single-table (flat) data model in Power BI centered on online_education_dataset, since all attributes exist at the student grain. Created DAX measures for Total Students, Average Score, Average Clicks, Pass Count, Dropout Count, Dropout Rate (%), and counts by Engagement/Performance/Risk Level, enabling all dashboard visuals to reference a consistent, reusable measure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Save Processed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The cleaned and transformed dataset was saved back as an updated CSV/data source and embedded into the sushma.pbix Power BI file, so the processed data persists with the report and can be refreshed or reused for future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