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7881901</wp:posOffset>
            </wp:positionH>
            <wp:positionV relativeFrom="page">
              <wp:posOffset>194965</wp:posOffset>
            </wp:positionV>
            <wp:extent cx="990600" cy="495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21-09-2026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Master of Computer Applications(MCA)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Online Education Student Engagement, Performance &amp; Dropout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3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Quality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The Data Quality Report Template summarizes data quality issues from the selected source, including severity levels and resolution plans. It aids in systematically identifying and rectifying data discrepancies.</w:t>
      </w:r>
      <w:r w:rsidDel="00000000" w:rsidR="00000000" w:rsidRPr="00000000">
        <w:rPr>
          <w:rtl w:val="0"/>
        </w:rPr>
      </w:r>
    </w:p>
    <w:tbl>
      <w:tblPr>
        <w:tblStyle w:val="Table2"/>
        <w:tblW w:w="11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200"/>
        <w:gridCol w:w="1400"/>
        <w:gridCol w:w="4300"/>
        <w:tblGridChange w:id="0">
          <w:tblGrid>
            <w:gridCol w:w="1600"/>
            <w:gridCol w:w="4200"/>
            <w:gridCol w:w="1400"/>
            <w:gridCol w:w="43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Quality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Resolution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1,356 fully duplicate rows and 3,808 duplicate id_student entries (repeat course attempts recorded as separate rows).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Remove exact duplicate rows via SQL (DISTINCT / ROW_NUMBER() de-duplication); for genuine repeat attempts, retain the record and add an attempt-sequence column instead of dropping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5,866 missing values in avg_score and 2,852 missing in total_clicks, indicating students with no recorded assessments or VLE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Exclude records with no activity/assessment at all from score-based KPIs; for partial gaps, impute using the cohort/module median rather than dropping the row, and flag imputed rows for transparency.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2,852-5,898 missing values in the derived fields engagement_level, performance_level, and risk_level.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Re-derive these categorical levels directly from total_clicks and avg_score using SQL CASE logic wherever the underlying numeric value exists, instead of leaving the category blank.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1,111 missing values in imd_band (socioeconomic deprivation indicator).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Label missing entries explicitly as 'Not Reported' rather than excluding students from regional/demographic analysis, so counts still reconcile with total_students.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Inconsistent category formatting in imd_band: one band is stored as '10-20' while all others use a '%' suffix (e.g., '20-30%').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Standardize all band labels to the 'xx-xx%' format using a SQL UPDATE/REPLACE or Power Query transformation before grouping.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Overlapping/ambiguous labels in risk_level: 'Safe' and 'Low Risk' appear as separate categories that likely represent the same risk tier.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Confirm the intended distinction with the source labeling logic; if equivalent, merge into a single 'Low Risk' category to avoid splitting counts in dashboard visuals.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35 records show studied_credits above 300 (up to 655), well beyond the typical 60-120 credit range, suggesting possible multi-module aggregation or data entry outliers.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Investigate whether these reflect students enrolled in multiple concurrent modules; if so, retain but document, otherwise cap/flag as outliers for exclusion from credit-based averages.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total_clicks and avg_score are stored as floating-point values with embedded nulls rather than clean numeric types.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Convert both columns to proper numeric (decimal) data types after null-handling, ensuring consistent typing for SQL aggregation and Power BI measures.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