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pPr>
      <w:r w:rsidDel="00000000" w:rsidR="00000000" w:rsidRPr="00000000">
        <w:rPr>
          <w:b w:val="1"/>
          <w:bCs w:val="1"/>
          <w:sz w:val="32"/>
          <w:szCs w:val="32"/>
        </w:rPr>
        <w:drawing>
          <wp:anchor allowOverlap="1" behindDoc="1" distB="0" distT="0" distL="0" distR="0" hidden="0" layoutInCell="1" locked="0" relativeHeight="0" simplePos="0">
            <wp:simplePos x="0" y="0"/>
            <wp:positionH relativeFrom="page">
              <wp:posOffset>8250978</wp:posOffset>
            </wp:positionH>
            <wp:positionV relativeFrom="page">
              <wp:posOffset>166390</wp:posOffset>
            </wp:positionV>
            <wp:extent cx="990600" cy="4953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0600" cy="495300"/>
                    </a:xfrm>
                    <a:prstGeom prst="rect"/>
                    <a:ln/>
                  </pic:spPr>
                </pic:pic>
              </a:graphicData>
            </a:graphic>
          </wp:anchor>
        </w:drawing>
      </w:r>
      <w:r w:rsidDel="00000000" w:rsidR="00000000" w:rsidRPr="00000000">
        <w:rPr>
          <w:rFonts w:ascii="Times New Roman" w:cs="Times New Roman" w:eastAsia="Times New Roman" w:hAnsi="Times New Roman"/>
          <w:b w:val="1"/>
          <w:bCs w:val="1"/>
          <w:sz w:val="32"/>
          <w:szCs w:val="32"/>
          <w:rtl w:val="0"/>
        </w:rPr>
        <w:t xml:space="preserve">Report</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shd w:fill="d9e2f3" w:val="clear"/>
            <w:vAlign w:val="center"/>
          </w:tcPr>
          <w:p w:rsidR="00000000" w:rsidDel="00000000" w:rsidP="00000000" w:rsidRDefault="00000000" w:rsidRPr="00000000" w14:paraId="00000002">
            <w:pPr>
              <w:rPr>
                <w:rFonts w:ascii="Times New Roman" w:cs="Times New Roman" w:eastAsia="Times New Roman" w:hAnsi="Times New Roman"/>
                <w:b w:val="1"/>
                <w:bCs w:val="1"/>
                <w:sz w:val="22"/>
                <w:szCs w:val="22"/>
              </w:rPr>
            </w:pPr>
            <w:r w:rsidDel="00000000" w:rsidR="00000000" w:rsidRPr="00000000">
              <w:rPr>
                <w:b w:val="1"/>
                <w:bCs w:val="1"/>
                <w:sz w:val="22"/>
                <w:szCs w:val="22"/>
                <w:rtl w:val="0"/>
              </w:rPr>
              <w:t xml:space="preserve">Date</w:t>
            </w:r>
            <w:r w:rsidDel="00000000" w:rsidR="00000000" w:rsidRPr="00000000">
              <w:rPr>
                <w:rtl w:val="0"/>
              </w:rPr>
            </w:r>
          </w:p>
        </w:tc>
        <w:tc>
          <w:tcPr>
            <w:vAlign w:val="center"/>
          </w:tcPr>
          <w:p w:rsidR="00000000" w:rsidDel="00000000" w:rsidP="00000000" w:rsidRDefault="00000000" w:rsidRPr="00000000" w14:paraId="00000003">
            <w:pPr>
              <w:rPr>
                <w:sz w:val="22"/>
                <w:szCs w:val="22"/>
              </w:rPr>
            </w:pPr>
            <w:r w:rsidDel="00000000" w:rsidR="00000000" w:rsidRPr="00000000">
              <w:rPr>
                <w:sz w:val="22"/>
                <w:szCs w:val="22"/>
                <w:rtl w:val="0"/>
              </w:rPr>
              <w:t xml:space="preserve">21-09-2026</w:t>
            </w:r>
          </w:p>
        </w:tc>
      </w:tr>
      <w:tr>
        <w:trPr>
          <w:cantSplit w:val="0"/>
          <w:tblHeader w:val="0"/>
        </w:trPr>
        <w:tc>
          <w:tcPr>
            <w:shd w:fill="d9e2f3" w:val="clear"/>
            <w:vAlign w:val="center"/>
          </w:tcPr>
          <w:p w:rsidR="00000000" w:rsidDel="00000000" w:rsidP="00000000" w:rsidRDefault="00000000" w:rsidRPr="00000000" w14:paraId="00000004">
            <w:pPr>
              <w:rPr/>
            </w:pPr>
            <w:r w:rsidDel="00000000" w:rsidR="00000000" w:rsidRPr="00000000">
              <w:rPr>
                <w:rFonts w:ascii="Times New Roman" w:cs="Times New Roman" w:eastAsia="Times New Roman" w:hAnsi="Times New Roman"/>
                <w:b w:val="1"/>
                <w:bCs w:val="1"/>
                <w:sz w:val="22"/>
                <w:szCs w:val="22"/>
                <w:rtl w:val="0"/>
              </w:rPr>
              <w:t xml:space="preserve">Team ID</w:t>
            </w:r>
            <w:r w:rsidDel="00000000" w:rsidR="00000000" w:rsidRPr="00000000">
              <w:rPr>
                <w:rtl w:val="0"/>
              </w:rPr>
            </w:r>
          </w:p>
        </w:tc>
        <w:tc>
          <w:tcPr>
            <w:vAlign w:val="center"/>
          </w:tcPr>
          <w:p w:rsidR="00000000" w:rsidDel="00000000" w:rsidP="00000000" w:rsidRDefault="00000000" w:rsidRPr="00000000" w14:paraId="00000005">
            <w:pPr>
              <w:rPr/>
            </w:pPr>
            <w:r w:rsidDel="00000000" w:rsidR="00000000" w:rsidRPr="00000000">
              <w:rPr>
                <w:sz w:val="22"/>
                <w:szCs w:val="22"/>
                <w:rtl w:val="0"/>
              </w:rPr>
              <w:t xml:space="preserve">Master of Computer Applications(MCA)</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06">
            <w:pPr>
              <w:rPr/>
            </w:pPr>
            <w:r w:rsidDel="00000000" w:rsidR="00000000" w:rsidRPr="00000000">
              <w:rPr>
                <w:rFonts w:ascii="Times New Roman" w:cs="Times New Roman" w:eastAsia="Times New Roman" w:hAnsi="Times New Roman"/>
                <w:b w:val="1"/>
                <w:bCs w:val="1"/>
                <w:sz w:val="22"/>
                <w:szCs w:val="22"/>
                <w:rtl w:val="0"/>
              </w:rPr>
              <w:t xml:space="preserve">Project Name</w:t>
            </w:r>
            <w:r w:rsidDel="00000000" w:rsidR="00000000" w:rsidRPr="00000000">
              <w:rPr>
                <w:rtl w:val="0"/>
              </w:rPr>
            </w:r>
          </w:p>
        </w:tc>
        <w:tc>
          <w:tcPr>
            <w:vAlign w:val="center"/>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b w:val="0"/>
                <w:bCs w:val="0"/>
                <w:sz w:val="22"/>
                <w:szCs w:val="22"/>
                <w:rtl w:val="0"/>
              </w:rPr>
              <w:t xml:space="preserve">Online Education Student Engagement, Performance &amp; Dropout Analysis</w:t>
            </w:r>
            <w:r w:rsidDel="00000000" w:rsidR="00000000" w:rsidRPr="00000000">
              <w:rPr>
                <w:rtl w:val="0"/>
              </w:rPr>
            </w:r>
          </w:p>
        </w:tc>
      </w:tr>
      <w:tr>
        <w:trPr>
          <w:cantSplit w:val="0"/>
          <w:tblHeader w:val="0"/>
        </w:trPr>
        <w:tc>
          <w:tcPr>
            <w:shd w:fill="d9e2f3" w:val="clear"/>
            <w:vAlign w:val="center"/>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bCs w:val="1"/>
                <w:sz w:val="22"/>
                <w:szCs w:val="22"/>
                <w:rtl w:val="0"/>
              </w:rPr>
              <w:t xml:space="preserve">Maximum Marks</w:t>
            </w:r>
            <w:r w:rsidDel="00000000" w:rsidR="00000000" w:rsidRPr="00000000">
              <w:rPr>
                <w:rtl w:val="0"/>
              </w:rPr>
            </w:r>
          </w:p>
        </w:tc>
        <w:tc>
          <w:tcPr>
            <w:vAlign w:val="center"/>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0"/>
                <w:bCs w:val="0"/>
                <w:sz w:val="22"/>
                <w:szCs w:val="22"/>
                <w:rtl w:val="0"/>
              </w:rPr>
              <w:t xml:space="preserve">5 Marks</w:t>
            </w:r>
            <w:r w:rsidDel="00000000" w:rsidR="00000000" w:rsidRPr="00000000">
              <w:rPr>
                <w:rtl w:val="0"/>
              </w:rPr>
            </w:r>
          </w:p>
        </w:tc>
      </w:tr>
    </w:tbl>
    <w:p w:rsidR="00000000" w:rsidDel="00000000" w:rsidP="00000000" w:rsidRDefault="00000000" w:rsidRPr="00000000" w14:paraId="0000000A">
      <w:pPr>
        <w:spacing w:after="150" w:lineRule="auto"/>
        <w:rPr/>
      </w:pP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0"/>
          <w:szCs w:val="20"/>
          <w:rtl w:val="0"/>
        </w:rPr>
        <w:t xml:space="preserve">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r w:rsidDel="00000000" w:rsidR="00000000" w:rsidRPr="00000000">
        <w:rPr>
          <w:rtl w:val="0"/>
        </w:rPr>
      </w:r>
    </w:p>
    <w:p w:rsidR="00000000" w:rsidDel="00000000" w:rsidP="00000000" w:rsidRDefault="00000000" w:rsidRPr="00000000" w14:paraId="0000000C">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Designing this report in Power BI involved connecting to the online education dataset, creating visualizations (line, bar, and pie charts) for trends, comparisons, and segmentation, customizing their appearance and interactivity, organizing them logically on the canvas, and formatting elements for consistency and clarity, so the report effectively communicates insights to instructors and administrators.</w:t>
      </w:r>
    </w:p>
    <w:p w:rsidR="00000000" w:rsidDel="00000000" w:rsidP="00000000" w:rsidRDefault="00000000" w:rsidRPr="00000000" w14:paraId="0000000D">
      <w:pPr>
        <w:spacing w:after="200" w:lineRule="auto"/>
        <w:rPr/>
      </w:pPr>
      <w:r w:rsidDel="00000000" w:rsidR="00000000" w:rsidRPr="00000000">
        <w:rPr>
          <w:rtl w:val="0"/>
        </w:rPr>
      </w:r>
    </w:p>
    <w:p w:rsidR="00000000" w:rsidDel="00000000" w:rsidP="00000000" w:rsidRDefault="00000000" w:rsidRPr="00000000" w14:paraId="0000000E">
      <w:pPr>
        <w:spacing w:after="200" w:lineRule="auto"/>
        <w:rPr>
          <w:b w:val="1"/>
          <w:bCs w:val="1"/>
          <w:color w:val="0000ff"/>
          <w:sz w:val="24"/>
          <w:szCs w:val="24"/>
        </w:rPr>
      </w:pPr>
      <w:r w:rsidDel="00000000" w:rsidR="00000000" w:rsidRPr="00000000">
        <w:rPr>
          <w:b w:val="1"/>
          <w:bCs w:val="1"/>
          <w:color w:val="0000ff"/>
          <w:sz w:val="24"/>
          <w:szCs w:val="24"/>
          <w:rtl w:val="0"/>
        </w:rPr>
        <w:t xml:space="preserve">Report 1: Global Online Learning- Student Performance &amp; Engagement Overview</w:t>
      </w:r>
    </w:p>
    <w:p w:rsidR="00000000" w:rsidDel="00000000" w:rsidP="00000000" w:rsidRDefault="00000000" w:rsidRPr="00000000" w14:paraId="0000000F">
      <w:pPr>
        <w:spacing w:after="200" w:lineRule="auto"/>
        <w:jc w:val="center"/>
        <w:rPr/>
      </w:pPr>
      <w:r w:rsidDel="00000000" w:rsidR="00000000" w:rsidRPr="00000000">
        <w:rPr/>
        <w:drawing>
          <wp:inline distB="114300" distT="114300" distL="114300" distR="114300">
            <wp:extent cx="7391400" cy="43148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91400"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Fonts w:ascii="Times New Roman" w:cs="Times New Roman" w:eastAsia="Times New Roman" w:hAnsi="Times New Roman"/>
          <w:sz w:val="20"/>
          <w:szCs w:val="20"/>
          <w:rtl w:val="0"/>
        </w:rPr>
        <w:t xml:space="preserve">Observations drawn from this report can provide valuable insight into learner engagement, performance, and dropout patterns.</w:t>
      </w:r>
      <w:r w:rsidDel="00000000" w:rsidR="00000000" w:rsidRPr="00000000">
        <w:rPr>
          <w:rtl w:val="0"/>
        </w:rPr>
      </w:r>
    </w:p>
    <w:p w:rsidR="00000000" w:rsidDel="00000000" w:rsidP="00000000" w:rsidRDefault="00000000" w:rsidRPr="00000000" w14:paraId="00000011">
      <w:pPr>
        <w:spacing w:after="60" w:before="220" w:lineRule="auto"/>
        <w:rPr/>
      </w:pPr>
      <w:r w:rsidDel="00000000" w:rsidR="00000000" w:rsidRPr="00000000">
        <w:rPr>
          <w:rFonts w:ascii="Times New Roman" w:cs="Times New Roman" w:eastAsia="Times New Roman" w:hAnsi="Times New Roman"/>
          <w:b w:val="1"/>
          <w:bCs w:val="1"/>
          <w:sz w:val="24"/>
          <w:szCs w:val="24"/>
          <w:rtl w:val="0"/>
        </w:rPr>
        <w:t xml:space="preserve">1. Trends Over Time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Average score rises steadily as click-volume (engagement) increases within a course presentation — from 66 for students under 500 clicks to 80 for students over 3,000 clicks — showing that sustained activity, not just enrollment, drives improved outcomes.</w:t>
      </w:r>
      <w:r w:rsidDel="00000000" w:rsidR="00000000" w:rsidRPr="00000000">
        <w:rPr>
          <w:rtl w:val="0"/>
        </w:rPr>
      </w:r>
    </w:p>
    <w:p w:rsidR="00000000" w:rsidDel="00000000" w:rsidP="00000000" w:rsidRDefault="00000000" w:rsidRPr="00000000" w14:paraId="00000013">
      <w:pPr>
        <w:spacing w:after="60" w:before="220" w:lineRule="auto"/>
        <w:rPr/>
      </w:pPr>
      <w:r w:rsidDel="00000000" w:rsidR="00000000" w:rsidRPr="00000000">
        <w:rPr>
          <w:rFonts w:ascii="Times New Roman" w:cs="Times New Roman" w:eastAsia="Times New Roman" w:hAnsi="Times New Roman"/>
          <w:b w:val="1"/>
          <w:bCs w:val="1"/>
          <w:sz w:val="24"/>
          <w:szCs w:val="24"/>
          <w:rtl w:val="0"/>
        </w:rPr>
        <w:t xml:space="preserve">2. Performance Comparisons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Comparing average score across regions shows a fairly narrow band (72.6 to 74.7), with South East, Scotland, and North leading; comparing across engagement level shows a much larger gap — High-engagement students average 78.1 versus 66.1 for Low-engagement students.</w:t>
      </w:r>
      <w:r w:rsidDel="00000000" w:rsidR="00000000" w:rsidRPr="00000000">
        <w:rPr>
          <w:rtl w:val="0"/>
        </w:rPr>
      </w:r>
    </w:p>
    <w:p w:rsidR="00000000" w:rsidDel="00000000" w:rsidP="00000000" w:rsidRDefault="00000000" w:rsidRPr="00000000" w14:paraId="00000015">
      <w:pPr>
        <w:spacing w:after="60" w:before="220" w:lineRule="auto"/>
        <w:rPr/>
      </w:pPr>
      <w:r w:rsidDel="00000000" w:rsidR="00000000" w:rsidRPr="00000000">
        <w:rPr>
          <w:rFonts w:ascii="Times New Roman" w:cs="Times New Roman" w:eastAsia="Times New Roman" w:hAnsi="Times New Roman"/>
          <w:b w:val="1"/>
          <w:bCs w:val="1"/>
          <w:sz w:val="24"/>
          <w:szCs w:val="24"/>
          <w:rtl w:val="0"/>
        </w:rPr>
        <w:t xml:space="preserve">3. Customer (Learner) Segmentation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Segmenting students by prior education shows 43% hold an A Level or equivalent and 40% hold Lower Than A Level qualifications, together making up 83% of the population, while Postgraduate and No-Formal-Quals learners are small segments (1% each) that may need distinct support strategies.</w:t>
      </w:r>
      <w:r w:rsidDel="00000000" w:rsidR="00000000" w:rsidRPr="00000000">
        <w:rPr>
          <w:rtl w:val="0"/>
        </w:rPr>
      </w:r>
    </w:p>
    <w:p w:rsidR="00000000" w:rsidDel="00000000" w:rsidP="00000000" w:rsidRDefault="00000000" w:rsidRPr="00000000" w14:paraId="00000017">
      <w:pPr>
        <w:spacing w:after="60" w:before="220" w:lineRule="auto"/>
        <w:rPr/>
      </w:pPr>
      <w:r w:rsidDel="00000000" w:rsidR="00000000" w:rsidRPr="00000000">
        <w:rPr>
          <w:rFonts w:ascii="Times New Roman" w:cs="Times New Roman" w:eastAsia="Times New Roman" w:hAnsi="Times New Roman"/>
          <w:b w:val="1"/>
          <w:bCs w:val="1"/>
          <w:sz w:val="24"/>
          <w:szCs w:val="24"/>
          <w:rtl w:val="0"/>
        </w:rPr>
        <w:t xml:space="preserve">4. Goal Achievement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Against an illustrative 70% pass-rate target, the actual pass rate is 53.4%, with a 35.3% dropout rate — indicating the course is falling short of its completion goal and that dropout reduction should be the primary KPI for future interventions.</w:t>
      </w:r>
      <w:r w:rsidDel="00000000" w:rsidR="00000000" w:rsidRPr="00000000">
        <w:rPr>
          <w:rtl w:val="0"/>
        </w:rPr>
      </w:r>
    </w:p>
    <w:p w:rsidR="00000000" w:rsidDel="00000000" w:rsidP="00000000" w:rsidRDefault="00000000" w:rsidRPr="00000000" w14:paraId="00000019">
      <w:pPr>
        <w:spacing w:after="60" w:before="220" w:lineRule="auto"/>
        <w:rPr/>
      </w:pPr>
      <w:r w:rsidDel="00000000" w:rsidR="00000000" w:rsidRPr="00000000">
        <w:rPr>
          <w:rFonts w:ascii="Times New Roman" w:cs="Times New Roman" w:eastAsia="Times New Roman" w:hAnsi="Times New Roman"/>
          <w:b w:val="1"/>
          <w:bCs w:val="1"/>
          <w:sz w:val="24"/>
          <w:szCs w:val="24"/>
          <w:rtl w:val="0"/>
        </w:rPr>
        <w:t xml:space="preserve">Example:</w:t>
      </w:r>
      <w:r w:rsidDel="00000000" w:rsidR="00000000" w:rsidRPr="00000000">
        <w:rPr>
          <w:rtl w:val="0"/>
        </w:rPr>
      </w:r>
    </w:p>
    <w:p w:rsidR="00000000" w:rsidDel="00000000" w:rsidP="00000000" w:rsidRDefault="00000000" w:rsidRPr="00000000" w14:paraId="0000001A">
      <w:pPr>
        <w:spacing w:after="130" w:lineRule="auto"/>
        <w:ind w:left="288" w:firstLine="0"/>
        <w:rPr/>
      </w:pPr>
      <w:r w:rsidDel="00000000" w:rsidR="00000000" w:rsidRPr="00000000">
        <w:rPr>
          <w:rFonts w:ascii="Times New Roman" w:cs="Times New Roman" w:eastAsia="Times New Roman" w:hAnsi="Times New Roman"/>
          <w:b w:val="1"/>
          <w:bCs w:val="1"/>
          <w:sz w:val="22"/>
          <w:szCs w:val="22"/>
          <w:rtl w:val="0"/>
        </w:rPr>
        <w:t xml:space="preserve">1. Engagement Level Split: </w:t>
      </w:r>
      <w:r w:rsidDel="00000000" w:rsidR="00000000" w:rsidRPr="00000000">
        <w:rPr>
          <w:rFonts w:ascii="Times New Roman" w:cs="Times New Roman" w:eastAsia="Times New Roman" w:hAnsi="Times New Roman"/>
          <w:sz w:val="22"/>
          <w:szCs w:val="22"/>
          <w:rtl w:val="0"/>
        </w:rPr>
        <w:t xml:space="preserve">Students are split almost evenly across Low (9,925), Medium (9,905), and High (9,911) engagement levels, showing the engagement categorization is well balanced rather than skewed toward one group.</w:t>
      </w:r>
      <w:r w:rsidDel="00000000" w:rsidR="00000000" w:rsidRPr="00000000">
        <w:rPr>
          <w:rtl w:val="0"/>
        </w:rPr>
      </w:r>
    </w:p>
    <w:p w:rsidR="00000000" w:rsidDel="00000000" w:rsidP="00000000" w:rsidRDefault="00000000" w:rsidRPr="00000000" w14:paraId="0000001B">
      <w:pPr>
        <w:spacing w:after="130" w:lineRule="auto"/>
        <w:ind w:left="288" w:firstLine="0"/>
        <w:rPr/>
      </w:pPr>
      <w:r w:rsidDel="00000000" w:rsidR="00000000" w:rsidRPr="00000000">
        <w:rPr>
          <w:rFonts w:ascii="Times New Roman" w:cs="Times New Roman" w:eastAsia="Times New Roman" w:hAnsi="Times New Roman"/>
          <w:b w:val="1"/>
          <w:bCs w:val="1"/>
          <w:sz w:val="22"/>
          <w:szCs w:val="22"/>
          <w:rtl w:val="0"/>
        </w:rPr>
        <w:t xml:space="preserve">2. Score Range by Education: </w:t>
      </w:r>
      <w:r w:rsidDel="00000000" w:rsidR="00000000" w:rsidRPr="00000000">
        <w:rPr>
          <w:rFonts w:ascii="Times New Roman" w:cs="Times New Roman" w:eastAsia="Times New Roman" w:hAnsi="Times New Roman"/>
          <w:sz w:val="22"/>
          <w:szCs w:val="22"/>
          <w:rtl w:val="0"/>
        </w:rPr>
        <w:t xml:space="preserve">Average score climbs from 66.1 for students with No Formal Quals to 81.9 for those with a Postgraduate Qualification — a 15.8-point gap — indicating prior education is a strong predictor of assessment outcomes.</w:t>
      </w:r>
      <w:r w:rsidDel="00000000" w:rsidR="00000000" w:rsidRPr="00000000">
        <w:rPr>
          <w:rtl w:val="0"/>
        </w:rPr>
      </w:r>
    </w:p>
    <w:p w:rsidR="00000000" w:rsidDel="00000000" w:rsidP="00000000" w:rsidRDefault="00000000" w:rsidRPr="00000000" w14:paraId="0000001C">
      <w:pPr>
        <w:spacing w:after="130" w:lineRule="auto"/>
        <w:ind w:left="288" w:firstLine="0"/>
        <w:rPr/>
      </w:pPr>
      <w:r w:rsidDel="00000000" w:rsidR="00000000" w:rsidRPr="00000000">
        <w:rPr>
          <w:rFonts w:ascii="Times New Roman" w:cs="Times New Roman" w:eastAsia="Times New Roman" w:hAnsi="Times New Roman"/>
          <w:b w:val="1"/>
          <w:bCs w:val="1"/>
          <w:sz w:val="22"/>
          <w:szCs w:val="22"/>
          <w:rtl w:val="0"/>
        </w:rPr>
        <w:t xml:space="preserve">3. Regional Concentration: </w:t>
      </w:r>
      <w:r w:rsidDel="00000000" w:rsidR="00000000" w:rsidRPr="00000000">
        <w:rPr>
          <w:rFonts w:ascii="Times New Roman" w:cs="Times New Roman" w:eastAsia="Times New Roman" w:hAnsi="Times New Roman"/>
          <w:sz w:val="22"/>
          <w:szCs w:val="22"/>
          <w:rtl w:val="0"/>
        </w:rPr>
        <w:t xml:space="preserve">The East Anglian Region has among the highest enrollment volumes, suggesting its outreach and support approach could be studied as a model for regions with lower enrollment, such as Ireland and the North Region.</w:t>
      </w:r>
      <w:r w:rsidDel="00000000" w:rsidR="00000000" w:rsidRPr="00000000">
        <w:rPr>
          <w:rtl w:val="0"/>
        </w:rPr>
      </w:r>
    </w:p>
    <w:p w:rsidR="00000000" w:rsidDel="00000000" w:rsidP="00000000" w:rsidRDefault="00000000" w:rsidRPr="00000000" w14:paraId="0000001D">
      <w:pPr>
        <w:spacing w:after="130" w:lineRule="auto"/>
        <w:ind w:left="288"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 Overall Course Completion: </w:t>
      </w:r>
      <w:r w:rsidDel="00000000" w:rsidR="00000000" w:rsidRPr="00000000">
        <w:rPr>
          <w:rFonts w:ascii="Times New Roman" w:cs="Times New Roman" w:eastAsia="Times New Roman" w:hAnsi="Times New Roman"/>
          <w:sz w:val="22"/>
          <w:szCs w:val="22"/>
          <w:rtl w:val="0"/>
        </w:rPr>
        <w:t xml:space="preserve">Of 28,785 total students, 15,385 (53.4%) passed while 10,156 (35.3%) dropped out, highlighting course completion as the area most in need of targeted intervention.</w:t>
      </w:r>
    </w:p>
    <w:p w:rsidR="00000000" w:rsidDel="00000000" w:rsidP="00000000" w:rsidRDefault="00000000" w:rsidRPr="00000000" w14:paraId="0000001E">
      <w:pPr>
        <w:spacing w:after="160" w:before="280" w:lineRule="auto"/>
        <w:rPr>
          <w:sz w:val="22"/>
          <w:szCs w:val="22"/>
        </w:rPr>
      </w:pPr>
      <w:r w:rsidDel="00000000" w:rsidR="00000000" w:rsidRPr="00000000">
        <w:rPr>
          <w:rtl w:val="0"/>
        </w:rPr>
      </w:r>
    </w:p>
    <w:p w:rsidR="00000000" w:rsidDel="00000000" w:rsidP="00000000" w:rsidRDefault="00000000" w:rsidRPr="00000000" w14:paraId="0000001F">
      <w:pPr>
        <w:spacing w:after="160" w:before="280" w:lineRule="auto"/>
        <w:rPr>
          <w:rFonts w:ascii="Arial" w:cs="Arial" w:eastAsia="Arial" w:hAnsi="Arial"/>
          <w:b w:val="1"/>
          <w:bCs w:val="1"/>
          <w:color w:val="0000ff"/>
          <w:sz w:val="24"/>
          <w:szCs w:val="24"/>
        </w:rPr>
      </w:pPr>
      <w:r w:rsidDel="00000000" w:rsidR="00000000" w:rsidRPr="00000000">
        <w:rPr>
          <w:b w:val="1"/>
          <w:bCs w:val="1"/>
          <w:color w:val="0000ff"/>
          <w:sz w:val="28"/>
          <w:szCs w:val="28"/>
          <w:rtl w:val="0"/>
        </w:rPr>
        <w:t xml:space="preserve">Report</w:t>
      </w:r>
      <w:r w:rsidDel="00000000" w:rsidR="00000000" w:rsidRPr="00000000">
        <w:rPr>
          <w:rFonts w:ascii="Arial" w:cs="Arial" w:eastAsia="Arial" w:hAnsi="Arial"/>
          <w:b w:val="1"/>
          <w:bCs w:val="1"/>
          <w:color w:val="0000ff"/>
          <w:sz w:val="26"/>
          <w:szCs w:val="26"/>
          <w:rtl w:val="0"/>
        </w:rPr>
        <w:t xml:space="preserve"> </w:t>
      </w:r>
      <w:r w:rsidDel="00000000" w:rsidR="00000000" w:rsidRPr="00000000">
        <w:rPr>
          <w:rFonts w:ascii="Arial" w:cs="Arial" w:eastAsia="Arial" w:hAnsi="Arial"/>
          <w:b w:val="1"/>
          <w:bCs w:val="1"/>
          <w:color w:val="0000ff"/>
          <w:sz w:val="24"/>
          <w:szCs w:val="24"/>
          <w:rtl w:val="0"/>
        </w:rPr>
        <w:t xml:space="preserve">2: Risk, Dropout &amp; Demographic Analysis</w:t>
      </w:r>
    </w:p>
    <w:p w:rsidR="00000000" w:rsidDel="00000000" w:rsidP="00000000" w:rsidRDefault="00000000" w:rsidRPr="00000000" w14:paraId="00000020">
      <w:pPr>
        <w:spacing w:before="60" w:lineRule="auto"/>
        <w:jc w:val="center"/>
        <w:rPr>
          <w:sz w:val="22"/>
          <w:szCs w:val="22"/>
        </w:rPr>
      </w:pPr>
      <w:r w:rsidDel="00000000" w:rsidR="00000000" w:rsidRPr="00000000">
        <w:rPr>
          <w:sz w:val="22"/>
          <w:szCs w:val="22"/>
        </w:rPr>
        <w:drawing>
          <wp:inline distB="114300" distT="114300" distL="114300" distR="114300">
            <wp:extent cx="6803138" cy="405908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803138" cy="4059088"/>
                    </a:xfrm>
                    <a:prstGeom prst="rect"/>
                    <a:ln/>
                  </pic:spPr>
                </pic:pic>
              </a:graphicData>
            </a:graphic>
          </wp:inline>
        </w:drawing>
      </w:r>
      <w:r w:rsidDel="00000000" w:rsidR="00000000" w:rsidRPr="00000000">
        <w:rPr>
          <w:sz w:val="22"/>
          <w:szCs w:val="22"/>
          <w:rtl w:val="0"/>
        </w:rPr>
        <w:t xml:space="preserve"> </w:t>
      </w:r>
    </w:p>
    <w:p w:rsidR="00000000" w:rsidDel="00000000" w:rsidP="00000000" w:rsidRDefault="00000000" w:rsidRPr="00000000" w14:paraId="00000021">
      <w:pPr>
        <w:spacing w:after="160" w:before="120" w:lineRule="auto"/>
        <w:rPr>
          <w:rFonts w:ascii="Arial" w:cs="Arial" w:eastAsia="Arial" w:hAnsi="Arial"/>
        </w:rPr>
      </w:pPr>
      <w:r w:rsidDel="00000000" w:rsidR="00000000" w:rsidRPr="00000000">
        <w:rPr>
          <w:rFonts w:ascii="Arial" w:cs="Arial" w:eastAsia="Arial" w:hAnsi="Arial"/>
          <w:rtl w:val="0"/>
        </w:rPr>
        <w:t xml:space="preserve">Observations drawn from this dashboard:</w:t>
      </w:r>
    </w:p>
    <w:p w:rsidR="00000000" w:rsidDel="00000000" w:rsidP="00000000" w:rsidRDefault="00000000" w:rsidRPr="00000000" w14:paraId="00000022">
      <w:pPr>
        <w:spacing w:after="80" w:before="160" w:lineRule="auto"/>
        <w:rPr>
          <w:rFonts w:ascii="Arial" w:cs="Arial" w:eastAsia="Arial" w:hAnsi="Arial"/>
        </w:rPr>
      </w:pPr>
      <w:r w:rsidDel="00000000" w:rsidR="00000000" w:rsidRPr="00000000">
        <w:rPr>
          <w:rFonts w:ascii="Arial" w:cs="Arial" w:eastAsia="Arial" w:hAnsi="Arial"/>
          <w:b w:val="1"/>
          <w:bCs w:val="1"/>
          <w:rtl w:val="0"/>
        </w:rPr>
        <w:t xml:space="preserve">1. Dropout Rate by Prior Education</w:t>
      </w:r>
      <w:r w:rsidDel="00000000" w:rsidR="00000000" w:rsidRPr="00000000">
        <w:rPr>
          <w:rFonts w:ascii="Arial" w:cs="Arial" w:eastAsia="Arial" w:hAnsi="Arial"/>
          <w:rtl w:val="0"/>
        </w:rPr>
        <w:t xml:space="preserve">:</w:t>
      </w:r>
    </w:p>
    <w:p w:rsidR="00000000" w:rsidDel="00000000" w:rsidP="00000000" w:rsidRDefault="00000000" w:rsidRPr="00000000" w14:paraId="00000023">
      <w:pPr>
        <w:spacing w:after="120" w:before="220" w:line="264" w:lineRule="auto"/>
        <w:ind w:left="1080" w:hanging="360"/>
        <w:jc w:val="both"/>
        <w:rPr>
          <w:rFonts w:ascii="Arial" w:cs="Arial" w:eastAsia="Arial" w:hAnsi="Arial"/>
        </w:rPr>
      </w:pPr>
      <w:r w:rsidDel="00000000" w:rsidR="00000000" w:rsidRPr="00000000">
        <w:rPr>
          <w:rFonts w:ascii="Arial" w:cs="Arial" w:eastAsia="Arial" w:hAnsi="Arial"/>
          <w:rtl w:val="0"/>
        </w:rPr>
        <w:t xml:space="preserve">● Dropout falls steadily as prior education rises: about </w:t>
      </w:r>
      <w:r w:rsidDel="00000000" w:rsidR="00000000" w:rsidRPr="00000000">
        <w:rPr>
          <w:rFonts w:ascii="Arial" w:cs="Arial" w:eastAsia="Arial" w:hAnsi="Arial"/>
          <w:b w:val="1"/>
          <w:bCs w:val="1"/>
          <w:rtl w:val="0"/>
        </w:rPr>
        <w:t xml:space="preserve">28%</w:t>
      </w:r>
      <w:r w:rsidDel="00000000" w:rsidR="00000000" w:rsidRPr="00000000">
        <w:rPr>
          <w:rFonts w:ascii="Arial" w:cs="Arial" w:eastAsia="Arial" w:hAnsi="Arial"/>
          <w:rtl w:val="0"/>
        </w:rPr>
        <w:t xml:space="preserve"> for students with </w:t>
      </w:r>
      <w:r w:rsidDel="00000000" w:rsidR="00000000" w:rsidRPr="00000000">
        <w:rPr>
          <w:rFonts w:ascii="Arial" w:cs="Arial" w:eastAsia="Arial" w:hAnsi="Arial"/>
          <w:b w:val="1"/>
          <w:bCs w:val="1"/>
          <w:rtl w:val="0"/>
        </w:rPr>
        <w:t xml:space="preserve">No Formal quals</w:t>
      </w:r>
      <w:r w:rsidDel="00000000" w:rsidR="00000000" w:rsidRPr="00000000">
        <w:rPr>
          <w:rFonts w:ascii="Arial" w:cs="Arial" w:eastAsia="Arial" w:hAnsi="Arial"/>
          <w:rtl w:val="0"/>
        </w:rPr>
        <w:t xml:space="preserve">, about </w:t>
      </w:r>
      <w:r w:rsidDel="00000000" w:rsidR="00000000" w:rsidRPr="00000000">
        <w:rPr>
          <w:rFonts w:ascii="Arial" w:cs="Arial" w:eastAsia="Arial" w:hAnsi="Arial"/>
          <w:b w:val="1"/>
          <w:bCs w:val="1"/>
          <w:rtl w:val="0"/>
        </w:rPr>
        <w:t xml:space="preserve">24%</w:t>
      </w:r>
      <w:r w:rsidDel="00000000" w:rsidR="00000000" w:rsidRPr="00000000">
        <w:rPr>
          <w:rFonts w:ascii="Arial" w:cs="Arial" w:eastAsia="Arial" w:hAnsi="Arial"/>
          <w:rtl w:val="0"/>
        </w:rPr>
        <w:t xml:space="preserve"> for Lower Than A Level, about </w:t>
      </w:r>
      <w:r w:rsidDel="00000000" w:rsidR="00000000" w:rsidRPr="00000000">
        <w:rPr>
          <w:rFonts w:ascii="Arial" w:cs="Arial" w:eastAsia="Arial" w:hAnsi="Arial"/>
          <w:b w:val="1"/>
          <w:bCs w:val="1"/>
          <w:rtl w:val="0"/>
        </w:rPr>
        <w:t xml:space="preserve">20%</w:t>
      </w:r>
      <w:r w:rsidDel="00000000" w:rsidR="00000000" w:rsidRPr="00000000">
        <w:rPr>
          <w:rFonts w:ascii="Arial" w:cs="Arial" w:eastAsia="Arial" w:hAnsi="Arial"/>
          <w:rtl w:val="0"/>
        </w:rPr>
        <w:t xml:space="preserve"> for both A Level and HE Qualification, and about </w:t>
      </w:r>
      <w:r w:rsidDel="00000000" w:rsidR="00000000" w:rsidRPr="00000000">
        <w:rPr>
          <w:rFonts w:ascii="Arial" w:cs="Arial" w:eastAsia="Arial" w:hAnsi="Arial"/>
          <w:b w:val="1"/>
          <w:bCs w:val="1"/>
          <w:rtl w:val="0"/>
        </w:rPr>
        <w:t xml:space="preserve">18%</w:t>
      </w:r>
      <w:r w:rsidDel="00000000" w:rsidR="00000000" w:rsidRPr="00000000">
        <w:rPr>
          <w:rFonts w:ascii="Arial" w:cs="Arial" w:eastAsia="Arial" w:hAnsi="Arial"/>
          <w:rtl w:val="0"/>
        </w:rPr>
        <w:t xml:space="preserve"> for </w:t>
      </w:r>
      <w:r w:rsidDel="00000000" w:rsidR="00000000" w:rsidRPr="00000000">
        <w:rPr>
          <w:rFonts w:ascii="Arial" w:cs="Arial" w:eastAsia="Arial" w:hAnsi="Arial"/>
          <w:b w:val="1"/>
          <w:bCs w:val="1"/>
          <w:rtl w:val="0"/>
        </w:rPr>
        <w:t xml:space="preserve">Post Graduate</w:t>
      </w:r>
      <w:r w:rsidDel="00000000" w:rsidR="00000000" w:rsidRPr="00000000">
        <w:rPr>
          <w:rFonts w:ascii="Arial" w:cs="Arial" w:eastAsia="Arial" w:hAnsi="Arial"/>
          <w:rtl w:val="0"/>
        </w:rPr>
        <w:t xml:space="preserve"> learners. Students with no formal qualifications drop out about </w:t>
      </w:r>
      <w:r w:rsidDel="00000000" w:rsidR="00000000" w:rsidRPr="00000000">
        <w:rPr>
          <w:rFonts w:ascii="Arial" w:cs="Arial" w:eastAsia="Arial" w:hAnsi="Arial"/>
          <w:b w:val="1"/>
          <w:bCs w:val="1"/>
          <w:rtl w:val="0"/>
        </w:rPr>
        <w:t xml:space="preserve">1.5 times</w:t>
      </w:r>
      <w:r w:rsidDel="00000000" w:rsidR="00000000" w:rsidRPr="00000000">
        <w:rPr>
          <w:rFonts w:ascii="Arial" w:cs="Arial" w:eastAsia="Arial" w:hAnsi="Arial"/>
          <w:rtl w:val="0"/>
        </w:rPr>
        <w:t xml:space="preserve"> as often as post-graduates.</w:t>
      </w:r>
    </w:p>
    <w:p w:rsidR="00000000" w:rsidDel="00000000" w:rsidP="00000000" w:rsidRDefault="00000000" w:rsidRPr="00000000" w14:paraId="00000024">
      <w:pPr>
        <w:spacing w:after="80" w:before="160" w:lineRule="auto"/>
        <w:rPr>
          <w:rFonts w:ascii="Arial" w:cs="Arial" w:eastAsia="Arial" w:hAnsi="Arial"/>
        </w:rPr>
      </w:pPr>
      <w:r w:rsidDel="00000000" w:rsidR="00000000" w:rsidRPr="00000000">
        <w:rPr>
          <w:rFonts w:ascii="Arial" w:cs="Arial" w:eastAsia="Arial" w:hAnsi="Arial"/>
          <w:b w:val="1"/>
          <w:bCs w:val="1"/>
          <w:rtl w:val="0"/>
        </w:rPr>
        <w:t xml:space="preserve">2. Pass Rate by Prior Education</w:t>
      </w:r>
      <w:r w:rsidDel="00000000" w:rsidR="00000000" w:rsidRPr="00000000">
        <w:rPr>
          <w:rFonts w:ascii="Arial" w:cs="Arial" w:eastAsia="Arial" w:hAnsi="Arial"/>
          <w:rtl w:val="0"/>
        </w:rPr>
        <w:t xml:space="preserve">:</w:t>
      </w:r>
    </w:p>
    <w:p w:rsidR="00000000" w:rsidDel="00000000" w:rsidP="00000000" w:rsidRDefault="00000000" w:rsidRPr="00000000" w14:paraId="00000025">
      <w:pPr>
        <w:spacing w:after="120" w:before="220" w:line="264" w:lineRule="auto"/>
        <w:ind w:left="1080" w:hanging="360"/>
        <w:jc w:val="both"/>
        <w:rPr>
          <w:rFonts w:ascii="Arial" w:cs="Arial" w:eastAsia="Arial" w:hAnsi="Arial"/>
        </w:rPr>
      </w:pPr>
      <w:r w:rsidDel="00000000" w:rsidR="00000000" w:rsidRPr="00000000">
        <w:rPr>
          <w:rFonts w:ascii="Arial" w:cs="Arial" w:eastAsia="Arial" w:hAnsi="Arial"/>
          <w:rtl w:val="0"/>
        </w:rPr>
        <w:t xml:space="preserve">● The pass rate mirrors this pattern: about </w:t>
      </w:r>
      <w:r w:rsidDel="00000000" w:rsidR="00000000" w:rsidRPr="00000000">
        <w:rPr>
          <w:rFonts w:ascii="Arial" w:cs="Arial" w:eastAsia="Arial" w:hAnsi="Arial"/>
          <w:b w:val="1"/>
          <w:bCs w:val="1"/>
          <w:rtl w:val="0"/>
        </w:rPr>
        <w:t xml:space="preserve">67%</w:t>
      </w:r>
      <w:r w:rsidDel="00000000" w:rsidR="00000000" w:rsidRPr="00000000">
        <w:rPr>
          <w:rFonts w:ascii="Arial" w:cs="Arial" w:eastAsia="Arial" w:hAnsi="Arial"/>
          <w:rtl w:val="0"/>
        </w:rPr>
        <w:t xml:space="preserve"> for </w:t>
      </w:r>
      <w:r w:rsidDel="00000000" w:rsidR="00000000" w:rsidRPr="00000000">
        <w:rPr>
          <w:rFonts w:ascii="Arial" w:cs="Arial" w:eastAsia="Arial" w:hAnsi="Arial"/>
          <w:b w:val="1"/>
          <w:bCs w:val="1"/>
          <w:rtl w:val="0"/>
        </w:rPr>
        <w:t xml:space="preserve">Post Graduate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65%</w:t>
      </w:r>
      <w:r w:rsidDel="00000000" w:rsidR="00000000" w:rsidRPr="00000000">
        <w:rPr>
          <w:rFonts w:ascii="Arial" w:cs="Arial" w:eastAsia="Arial" w:hAnsi="Arial"/>
          <w:rtl w:val="0"/>
        </w:rPr>
        <w:t xml:space="preserve"> for HE Qualification, </w:t>
      </w:r>
      <w:r w:rsidDel="00000000" w:rsidR="00000000" w:rsidRPr="00000000">
        <w:rPr>
          <w:rFonts w:ascii="Arial" w:cs="Arial" w:eastAsia="Arial" w:hAnsi="Arial"/>
          <w:b w:val="1"/>
          <w:bCs w:val="1"/>
          <w:rtl w:val="0"/>
        </w:rPr>
        <w:t xml:space="preserve">62%</w:t>
      </w:r>
      <w:r w:rsidDel="00000000" w:rsidR="00000000" w:rsidRPr="00000000">
        <w:rPr>
          <w:rFonts w:ascii="Arial" w:cs="Arial" w:eastAsia="Arial" w:hAnsi="Arial"/>
          <w:rtl w:val="0"/>
        </w:rPr>
        <w:t xml:space="preserve"> for A Level, </w:t>
      </w:r>
      <w:r w:rsidDel="00000000" w:rsidR="00000000" w:rsidRPr="00000000">
        <w:rPr>
          <w:rFonts w:ascii="Arial" w:cs="Arial" w:eastAsia="Arial" w:hAnsi="Arial"/>
          <w:b w:val="1"/>
          <w:bCs w:val="1"/>
          <w:rtl w:val="0"/>
        </w:rPr>
        <w:t xml:space="preserve">50%</w:t>
      </w:r>
      <w:r w:rsidDel="00000000" w:rsidR="00000000" w:rsidRPr="00000000">
        <w:rPr>
          <w:rFonts w:ascii="Arial" w:cs="Arial" w:eastAsia="Arial" w:hAnsi="Arial"/>
          <w:rtl w:val="0"/>
        </w:rPr>
        <w:t xml:space="preserve"> for Lower Than A Level and only about </w:t>
      </w:r>
      <w:r w:rsidDel="00000000" w:rsidR="00000000" w:rsidRPr="00000000">
        <w:rPr>
          <w:rFonts w:ascii="Arial" w:cs="Arial" w:eastAsia="Arial" w:hAnsi="Arial"/>
          <w:b w:val="1"/>
          <w:bCs w:val="1"/>
          <w:rtl w:val="0"/>
        </w:rPr>
        <w:t xml:space="preserve">42%</w:t>
      </w:r>
      <w:r w:rsidDel="00000000" w:rsidR="00000000" w:rsidRPr="00000000">
        <w:rPr>
          <w:rFonts w:ascii="Arial" w:cs="Arial" w:eastAsia="Arial" w:hAnsi="Arial"/>
          <w:rtl w:val="0"/>
        </w:rPr>
        <w:t xml:space="preserve"> for </w:t>
      </w:r>
      <w:r w:rsidDel="00000000" w:rsidR="00000000" w:rsidRPr="00000000">
        <w:rPr>
          <w:rFonts w:ascii="Arial" w:cs="Arial" w:eastAsia="Arial" w:hAnsi="Arial"/>
          <w:b w:val="1"/>
          <w:bCs w:val="1"/>
          <w:rtl w:val="0"/>
        </w:rPr>
        <w:t xml:space="preserve">No Formal quals</w:t>
      </w:r>
      <w:r w:rsidDel="00000000" w:rsidR="00000000" w:rsidRPr="00000000">
        <w:rPr>
          <w:rFonts w:ascii="Arial" w:cs="Arial" w:eastAsia="Arial" w:hAnsi="Arial"/>
          <w:rtl w:val="0"/>
        </w:rPr>
        <w:t xml:space="preserve">, a gap of roughly </w:t>
      </w:r>
      <w:r w:rsidDel="00000000" w:rsidR="00000000" w:rsidRPr="00000000">
        <w:rPr>
          <w:rFonts w:ascii="Arial" w:cs="Arial" w:eastAsia="Arial" w:hAnsi="Arial"/>
          <w:b w:val="1"/>
          <w:bCs w:val="1"/>
          <w:rtl w:val="0"/>
        </w:rPr>
        <w:t xml:space="preserve">25 percentage points</w:t>
      </w:r>
      <w:r w:rsidDel="00000000" w:rsidR="00000000" w:rsidRPr="00000000">
        <w:rPr>
          <w:rFonts w:ascii="Arial" w:cs="Arial" w:eastAsia="Arial" w:hAnsi="Arial"/>
          <w:rtl w:val="0"/>
        </w:rPr>
        <w:t xml:space="preserve"> between the highest and lowest groups.</w:t>
      </w:r>
    </w:p>
    <w:p w:rsidR="00000000" w:rsidDel="00000000" w:rsidP="00000000" w:rsidRDefault="00000000" w:rsidRPr="00000000" w14:paraId="00000026">
      <w:pPr>
        <w:spacing w:after="80" w:before="160" w:lineRule="auto"/>
        <w:rPr>
          <w:rFonts w:ascii="Arial" w:cs="Arial" w:eastAsia="Arial" w:hAnsi="Arial"/>
        </w:rPr>
      </w:pPr>
      <w:r w:rsidDel="00000000" w:rsidR="00000000" w:rsidRPr="00000000">
        <w:rPr>
          <w:rFonts w:ascii="Arial" w:cs="Arial" w:eastAsia="Arial" w:hAnsi="Arial"/>
          <w:b w:val="1"/>
          <w:bCs w:val="1"/>
          <w:rtl w:val="0"/>
        </w:rPr>
        <w:t xml:space="preserve">3. Risk Profile</w:t>
      </w:r>
      <w:r w:rsidDel="00000000" w:rsidR="00000000" w:rsidRPr="00000000">
        <w:rPr>
          <w:rFonts w:ascii="Arial" w:cs="Arial" w:eastAsia="Arial" w:hAnsi="Arial"/>
          <w:rtl w:val="0"/>
        </w:rPr>
        <w:t xml:space="preserve">:</w:t>
      </w:r>
    </w:p>
    <w:p w:rsidR="00000000" w:rsidDel="00000000" w:rsidP="00000000" w:rsidRDefault="00000000" w:rsidRPr="00000000" w14:paraId="00000027">
      <w:pPr>
        <w:spacing w:after="120" w:before="220" w:line="264" w:lineRule="auto"/>
        <w:ind w:left="1080" w:hanging="360"/>
        <w:jc w:val="both"/>
        <w:rPr>
          <w:rFonts w:ascii="Arial" w:cs="Arial" w:eastAsia="Arial" w:hAnsi="Arial"/>
        </w:rPr>
      </w:pPr>
      <w:r w:rsidDel="00000000" w:rsidR="00000000" w:rsidRPr="00000000">
        <w:rPr>
          <w:b w:val="1"/>
          <w:bCs w:val="1"/>
          <w:rtl w:val="0"/>
        </w:rPr>
        <w:t xml:space="preserve">● High Risk (28.5%)</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Very High Risk (19.18%)</w:t>
      </w:r>
      <w:r w:rsidDel="00000000" w:rsidR="00000000" w:rsidRPr="00000000">
        <w:rPr>
          <w:rFonts w:ascii="Arial" w:cs="Arial" w:eastAsia="Arial" w:hAnsi="Arial"/>
          <w:rtl w:val="0"/>
        </w:rPr>
        <w:t xml:space="preserve"> students together total </w:t>
      </w:r>
      <w:r w:rsidDel="00000000" w:rsidR="00000000" w:rsidRPr="00000000">
        <w:rPr>
          <w:rFonts w:ascii="Arial" w:cs="Arial" w:eastAsia="Arial" w:hAnsi="Arial"/>
          <w:b w:val="1"/>
          <w:bCs w:val="1"/>
          <w:rtl w:val="0"/>
        </w:rPr>
        <w:t xml:space="preserve">10,691</w:t>
      </w:r>
      <w:r w:rsidDel="00000000" w:rsidR="00000000" w:rsidRPr="00000000">
        <w:rPr>
          <w:rFonts w:ascii="Arial" w:cs="Arial" w:eastAsia="Arial" w:hAnsi="Arial"/>
          <w:rtl w:val="0"/>
        </w:rPr>
        <w:t xml:space="preserve">, nearly </w:t>
      </w:r>
      <w:r w:rsidDel="00000000" w:rsidR="00000000" w:rsidRPr="00000000">
        <w:rPr>
          <w:rFonts w:ascii="Arial" w:cs="Arial" w:eastAsia="Arial" w:hAnsi="Arial"/>
          <w:b w:val="1"/>
          <w:bCs w:val="1"/>
          <w:rtl w:val="0"/>
        </w:rPr>
        <w:t xml:space="preserve">48%</w:t>
      </w:r>
      <w:r w:rsidDel="00000000" w:rsidR="00000000" w:rsidRPr="00000000">
        <w:rPr>
          <w:rFonts w:ascii="Arial" w:cs="Arial" w:eastAsia="Arial" w:hAnsi="Arial"/>
          <w:rtl w:val="0"/>
        </w:rPr>
        <w:t xml:space="preserve"> of all learners. </w:t>
      </w:r>
      <w:r w:rsidDel="00000000" w:rsidR="00000000" w:rsidRPr="00000000">
        <w:rPr>
          <w:rFonts w:ascii="Arial" w:cs="Arial" w:eastAsia="Arial" w:hAnsi="Arial"/>
          <w:b w:val="1"/>
          <w:bCs w:val="1"/>
          <w:rtl w:val="0"/>
        </w:rPr>
        <w:t xml:space="preserve">Low Risk (27.2%)</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Safe (25.12%)</w:t>
      </w:r>
      <w:r w:rsidDel="00000000" w:rsidR="00000000" w:rsidRPr="00000000">
        <w:rPr>
          <w:rFonts w:ascii="Arial" w:cs="Arial" w:eastAsia="Arial" w:hAnsi="Arial"/>
          <w:rtl w:val="0"/>
        </w:rPr>
        <w:t xml:space="preserve"> make up the remaining, just over half.</w:t>
      </w:r>
    </w:p>
    <w:p w:rsidR="00000000" w:rsidDel="00000000" w:rsidP="00000000" w:rsidRDefault="00000000" w:rsidRPr="00000000" w14:paraId="00000028">
      <w:pPr>
        <w:spacing w:after="80" w:before="160" w:lineRule="auto"/>
        <w:rPr>
          <w:rFonts w:ascii="Arial" w:cs="Arial" w:eastAsia="Arial" w:hAnsi="Arial"/>
        </w:rPr>
      </w:pPr>
      <w:r w:rsidDel="00000000" w:rsidR="00000000" w:rsidRPr="00000000">
        <w:rPr>
          <w:rFonts w:ascii="Arial" w:cs="Arial" w:eastAsia="Arial" w:hAnsi="Arial"/>
          <w:b w:val="1"/>
          <w:bCs w:val="1"/>
          <w:rtl w:val="0"/>
        </w:rPr>
        <w:t xml:space="preserve">4. Gender and Final Result</w:t>
      </w:r>
      <w:r w:rsidDel="00000000" w:rsidR="00000000" w:rsidRPr="00000000">
        <w:rPr>
          <w:rFonts w:ascii="Arial" w:cs="Arial" w:eastAsia="Arial" w:hAnsi="Arial"/>
          <w:rtl w:val="0"/>
        </w:rPr>
        <w:t xml:space="preserve">:</w:t>
      </w:r>
    </w:p>
    <w:p w:rsidR="00000000" w:rsidDel="00000000" w:rsidP="00000000" w:rsidRDefault="00000000" w:rsidRPr="00000000" w14:paraId="00000029">
      <w:pPr>
        <w:spacing w:after="120" w:before="220" w:line="264" w:lineRule="auto"/>
        <w:ind w:left="1080" w:hanging="360"/>
        <w:jc w:val="both"/>
        <w:rPr>
          <w:rFonts w:ascii="Arial" w:cs="Arial" w:eastAsia="Arial" w:hAnsi="Arial"/>
        </w:rPr>
      </w:pPr>
      <w:r w:rsidDel="00000000" w:rsidR="00000000" w:rsidRPr="00000000">
        <w:rPr>
          <w:rFonts w:ascii="Arial" w:cs="Arial" w:eastAsia="Arial" w:hAnsi="Arial"/>
          <w:rtl w:val="0"/>
        </w:rPr>
        <w:t xml:space="preserve">● Outcomes are broadly similar for both genders, but women do slightly better: about </w:t>
      </w:r>
      <w:r w:rsidDel="00000000" w:rsidR="00000000" w:rsidRPr="00000000">
        <w:rPr>
          <w:rFonts w:ascii="Arial" w:cs="Arial" w:eastAsia="Arial" w:hAnsi="Arial"/>
          <w:b w:val="1"/>
          <w:bCs w:val="1"/>
          <w:rtl w:val="0"/>
        </w:rPr>
        <w:t xml:space="preserve">49%</w:t>
      </w:r>
      <w:r w:rsidDel="00000000" w:rsidR="00000000" w:rsidRPr="00000000">
        <w:rPr>
          <w:rFonts w:ascii="Arial" w:cs="Arial" w:eastAsia="Arial" w:hAnsi="Arial"/>
          <w:rtl w:val="0"/>
        </w:rPr>
        <w:t xml:space="preserve"> of female students Pass compared with about </w:t>
      </w:r>
      <w:r w:rsidDel="00000000" w:rsidR="00000000" w:rsidRPr="00000000">
        <w:rPr>
          <w:rFonts w:ascii="Arial" w:cs="Arial" w:eastAsia="Arial" w:hAnsi="Arial"/>
          <w:b w:val="1"/>
          <w:bCs w:val="1"/>
          <w:rtl w:val="0"/>
        </w:rPr>
        <w:t xml:space="preserve">45%</w:t>
      </w:r>
      <w:r w:rsidDel="00000000" w:rsidR="00000000" w:rsidRPr="00000000">
        <w:rPr>
          <w:rFonts w:ascii="Arial" w:cs="Arial" w:eastAsia="Arial" w:hAnsi="Arial"/>
          <w:rtl w:val="0"/>
        </w:rPr>
        <w:t xml:space="preserve"> of male students, and about </w:t>
      </w:r>
      <w:r w:rsidDel="00000000" w:rsidR="00000000" w:rsidRPr="00000000">
        <w:rPr>
          <w:rFonts w:ascii="Arial" w:cs="Arial" w:eastAsia="Arial" w:hAnsi="Arial"/>
          <w:b w:val="1"/>
          <w:bCs w:val="1"/>
          <w:rtl w:val="0"/>
        </w:rPr>
        <w:t xml:space="preserve">17%</w:t>
      </w:r>
      <w:r w:rsidDel="00000000" w:rsidR="00000000" w:rsidRPr="00000000">
        <w:rPr>
          <w:rFonts w:ascii="Arial" w:cs="Arial" w:eastAsia="Arial" w:hAnsi="Arial"/>
          <w:rtl w:val="0"/>
        </w:rPr>
        <w:t xml:space="preserve"> of women Withdraw compared with about </w:t>
      </w:r>
      <w:r w:rsidDel="00000000" w:rsidR="00000000" w:rsidRPr="00000000">
        <w:rPr>
          <w:rFonts w:ascii="Arial" w:cs="Arial" w:eastAsia="Arial" w:hAnsi="Arial"/>
          <w:b w:val="1"/>
          <w:bCs w:val="1"/>
          <w:rtl w:val="0"/>
        </w:rPr>
        <w:t xml:space="preserve">21%</w:t>
      </w:r>
      <w:r w:rsidDel="00000000" w:rsidR="00000000" w:rsidRPr="00000000">
        <w:rPr>
          <w:rFonts w:ascii="Arial" w:cs="Arial" w:eastAsia="Arial" w:hAnsi="Arial"/>
          <w:rtl w:val="0"/>
        </w:rPr>
        <w:t xml:space="preserve"> of men. Distinction rates are close (about 11–12%).</w:t>
      </w:r>
    </w:p>
    <w:p w:rsidR="00000000" w:rsidDel="00000000" w:rsidP="00000000" w:rsidRDefault="00000000" w:rsidRPr="00000000" w14:paraId="0000002A">
      <w:pPr>
        <w:spacing w:after="80" w:before="160" w:lineRule="auto"/>
        <w:rPr>
          <w:rFonts w:ascii="Arial" w:cs="Arial" w:eastAsia="Arial" w:hAnsi="Arial"/>
        </w:rPr>
      </w:pPr>
      <w:r w:rsidDel="00000000" w:rsidR="00000000" w:rsidRPr="00000000">
        <w:rPr>
          <w:rFonts w:ascii="Arial" w:cs="Arial" w:eastAsia="Arial" w:hAnsi="Arial"/>
          <w:b w:val="1"/>
          <w:bCs w:val="1"/>
          <w:rtl w:val="0"/>
        </w:rPr>
        <w:t xml:space="preserve">5. Engagement and Final Result</w:t>
      </w:r>
      <w:r w:rsidDel="00000000" w:rsidR="00000000" w:rsidRPr="00000000">
        <w:rPr>
          <w:rFonts w:ascii="Arial" w:cs="Arial" w:eastAsia="Arial" w:hAnsi="Arial"/>
          <w:rtl w:val="0"/>
        </w:rPr>
        <w:t xml:space="preserve">:</w:t>
      </w:r>
    </w:p>
    <w:p w:rsidR="00000000" w:rsidDel="00000000" w:rsidP="00000000" w:rsidRDefault="00000000" w:rsidRPr="00000000" w14:paraId="0000002B">
      <w:pPr>
        <w:spacing w:after="120" w:before="220" w:line="264" w:lineRule="auto"/>
        <w:ind w:left="1080" w:hanging="360"/>
        <w:jc w:val="both"/>
        <w:rPr>
          <w:rFonts w:ascii="Arial" w:cs="Arial" w:eastAsia="Arial" w:hAnsi="Arial"/>
        </w:rPr>
      </w:pPr>
      <w:r w:rsidDel="00000000" w:rsidR="00000000" w:rsidRPr="00000000">
        <w:rPr>
          <w:rFonts w:ascii="Arial" w:cs="Arial" w:eastAsia="Arial" w:hAnsi="Arial"/>
          <w:rtl w:val="0"/>
        </w:rPr>
        <w:t xml:space="preserve">● For </w:t>
      </w:r>
      <w:r w:rsidDel="00000000" w:rsidR="00000000" w:rsidRPr="00000000">
        <w:rPr>
          <w:rFonts w:ascii="Arial" w:cs="Arial" w:eastAsia="Arial" w:hAnsi="Arial"/>
          <w:b w:val="1"/>
          <w:bCs w:val="1"/>
          <w:rtl w:val="0"/>
        </w:rPr>
        <w:t xml:space="preserve">High-engagement</w:t>
      </w:r>
      <w:r w:rsidDel="00000000" w:rsidR="00000000" w:rsidRPr="00000000">
        <w:rPr>
          <w:rFonts w:ascii="Arial" w:cs="Arial" w:eastAsia="Arial" w:hAnsi="Arial"/>
          <w:rtl w:val="0"/>
        </w:rPr>
        <w:t xml:space="preserve"> students the decomposition tree shows </w:t>
      </w:r>
      <w:r w:rsidDel="00000000" w:rsidR="00000000" w:rsidRPr="00000000">
        <w:rPr>
          <w:rFonts w:ascii="Arial" w:cs="Arial" w:eastAsia="Arial" w:hAnsi="Arial"/>
          <w:b w:val="1"/>
          <w:bCs w:val="1"/>
          <w:rtl w:val="0"/>
        </w:rPr>
        <w:t xml:space="preserve">Pass (5,168)</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Distinction (1,595)</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Withdrawn (967)</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Fail (915)</w:t>
      </w:r>
      <w:r w:rsidDel="00000000" w:rsidR="00000000" w:rsidRPr="00000000">
        <w:rPr>
          <w:rFonts w:ascii="Arial" w:cs="Arial" w:eastAsia="Arial" w:hAnsi="Arial"/>
          <w:rtl w:val="0"/>
        </w:rPr>
        <w:t xml:space="preserve">. About </w:t>
      </w:r>
      <w:r w:rsidDel="00000000" w:rsidR="00000000" w:rsidRPr="00000000">
        <w:rPr>
          <w:rFonts w:ascii="Arial" w:cs="Arial" w:eastAsia="Arial" w:hAnsi="Arial"/>
          <w:b w:val="1"/>
          <w:bCs w:val="1"/>
          <w:rtl w:val="0"/>
        </w:rPr>
        <w:t xml:space="preserve">78%</w:t>
      </w:r>
      <w:r w:rsidDel="00000000" w:rsidR="00000000" w:rsidRPr="00000000">
        <w:rPr>
          <w:rFonts w:ascii="Arial" w:cs="Arial" w:eastAsia="Arial" w:hAnsi="Arial"/>
          <w:rtl w:val="0"/>
        </w:rPr>
        <w:t xml:space="preserve"> finish with a Pass or Distinction and only about </w:t>
      </w:r>
      <w:r w:rsidDel="00000000" w:rsidR="00000000" w:rsidRPr="00000000">
        <w:rPr>
          <w:rFonts w:ascii="Arial" w:cs="Arial" w:eastAsia="Arial" w:hAnsi="Arial"/>
          <w:b w:val="1"/>
          <w:bCs w:val="1"/>
          <w:rtl w:val="0"/>
        </w:rPr>
        <w:t xml:space="preserve">22%</w:t>
      </w:r>
      <w:r w:rsidDel="00000000" w:rsidR="00000000" w:rsidRPr="00000000">
        <w:rPr>
          <w:rFonts w:ascii="Arial" w:cs="Arial" w:eastAsia="Arial" w:hAnsi="Arial"/>
          <w:rtl w:val="0"/>
        </w:rPr>
        <w:t xml:space="preserve"> fail or withdraw, compared with roughly </w:t>
      </w:r>
      <w:r w:rsidDel="00000000" w:rsidR="00000000" w:rsidRPr="00000000">
        <w:rPr>
          <w:rFonts w:ascii="Arial" w:cs="Arial" w:eastAsia="Arial" w:hAnsi="Arial"/>
          <w:b w:val="1"/>
          <w:bCs w:val="1"/>
          <w:rtl w:val="0"/>
        </w:rPr>
        <w:t xml:space="preserve">40%</w:t>
      </w:r>
      <w:r w:rsidDel="00000000" w:rsidR="00000000" w:rsidRPr="00000000">
        <w:rPr>
          <w:rFonts w:ascii="Arial" w:cs="Arial" w:eastAsia="Arial" w:hAnsi="Arial"/>
          <w:rtl w:val="0"/>
        </w:rPr>
        <w:t xml:space="preserve"> across all students on Dashboard 1. High engagement is therefore associated with about half the rate of failure or withdrawal.</w:t>
      </w:r>
    </w:p>
    <w:p w:rsidR="00000000" w:rsidDel="00000000" w:rsidP="00000000" w:rsidRDefault="00000000" w:rsidRPr="00000000" w14:paraId="0000002C">
      <w:pPr>
        <w:spacing w:after="160" w:before="280" w:lineRule="auto"/>
        <w:rPr>
          <w:rFonts w:ascii="Arial" w:cs="Arial" w:eastAsia="Arial" w:hAnsi="Arial"/>
          <w:b w:val="1"/>
          <w:bCs w:val="1"/>
          <w:color w:val="4472c4"/>
          <w:sz w:val="24"/>
          <w:szCs w:val="24"/>
        </w:rPr>
      </w:pPr>
      <w:r w:rsidDel="00000000" w:rsidR="00000000" w:rsidRPr="00000000">
        <w:rPr>
          <w:rFonts w:ascii="Arial" w:cs="Arial" w:eastAsia="Arial" w:hAnsi="Arial"/>
          <w:b w:val="1"/>
          <w:bCs w:val="1"/>
          <w:color w:val="4472c4"/>
          <w:sz w:val="24"/>
          <w:szCs w:val="24"/>
          <w:rtl w:val="0"/>
        </w:rPr>
        <w:t xml:space="preserve">Key Insights and Recommendations</w:t>
      </w:r>
    </w:p>
    <w:p w:rsidR="00000000" w:rsidDel="00000000" w:rsidP="00000000" w:rsidRDefault="00000000" w:rsidRPr="00000000" w14:paraId="0000002D">
      <w:pPr>
        <w:spacing w:after="120" w:before="220" w:line="264" w:lineRule="auto"/>
        <w:ind w:left="1080" w:hanging="360"/>
        <w:jc w:val="both"/>
        <w:rPr>
          <w:rFonts w:ascii="Arial" w:cs="Arial" w:eastAsia="Arial" w:hAnsi="Arial"/>
        </w:rPr>
      </w:pPr>
      <w:r w:rsidDel="00000000" w:rsidR="00000000" w:rsidRPr="00000000">
        <w:rPr>
          <w:b w:val="1"/>
          <w:bCs w:val="1"/>
          <w:rtl w:val="0"/>
        </w:rPr>
        <w:t xml:space="preserve">● Engagement is closely linked to success.</w:t>
      </w:r>
      <w:r w:rsidDel="00000000" w:rsidR="00000000" w:rsidRPr="00000000">
        <w:rPr>
          <w:rFonts w:ascii="Arial" w:cs="Arial" w:eastAsia="Arial" w:hAnsi="Arial"/>
          <w:rtl w:val="0"/>
        </w:rPr>
        <w:t xml:space="preserve"> Highly engaged students fail or withdraw about half as often, so the </w:t>
      </w:r>
      <w:r w:rsidDel="00000000" w:rsidR="00000000" w:rsidRPr="00000000">
        <w:rPr>
          <w:rFonts w:ascii="Arial" w:cs="Arial" w:eastAsia="Arial" w:hAnsi="Arial"/>
          <w:b w:val="1"/>
          <w:bCs w:val="1"/>
          <w:rtl w:val="0"/>
        </w:rPr>
        <w:t xml:space="preserve">14,810</w:t>
      </w:r>
      <w:r w:rsidDel="00000000" w:rsidR="00000000" w:rsidRPr="00000000">
        <w:rPr>
          <w:rFonts w:ascii="Arial" w:cs="Arial" w:eastAsia="Arial" w:hAnsi="Arial"/>
          <w:rtl w:val="0"/>
        </w:rPr>
        <w:t xml:space="preserve"> students at Medium or Low engagement should be the focus of reminders, nudges and more interactive content.</w:t>
      </w:r>
    </w:p>
    <w:p w:rsidR="00000000" w:rsidDel="00000000" w:rsidP="00000000" w:rsidRDefault="00000000" w:rsidRPr="00000000" w14:paraId="0000002E">
      <w:pPr>
        <w:spacing w:after="120" w:before="220" w:line="264" w:lineRule="auto"/>
        <w:ind w:left="1080" w:hanging="360"/>
        <w:jc w:val="both"/>
        <w:rPr>
          <w:rFonts w:ascii="Arial" w:cs="Arial" w:eastAsia="Arial" w:hAnsi="Arial"/>
        </w:rPr>
      </w:pPr>
      <w:r w:rsidDel="00000000" w:rsidR="00000000" w:rsidRPr="00000000">
        <w:rPr>
          <w:b w:val="1"/>
          <w:bCs w:val="1"/>
          <w:rtl w:val="0"/>
        </w:rPr>
        <w:t xml:space="preserve">● Prior education matters more than region.</w:t>
      </w:r>
      <w:r w:rsidDel="00000000" w:rsidR="00000000" w:rsidRPr="00000000">
        <w:rPr>
          <w:rFonts w:ascii="Arial" w:cs="Arial" w:eastAsia="Arial" w:hAnsi="Arial"/>
          <w:rtl w:val="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rsidR="00000000" w:rsidDel="00000000" w:rsidP="00000000" w:rsidRDefault="00000000" w:rsidRPr="00000000" w14:paraId="0000002F">
      <w:pPr>
        <w:spacing w:after="120" w:before="220" w:line="264" w:lineRule="auto"/>
        <w:ind w:left="1080" w:hanging="360"/>
        <w:jc w:val="both"/>
        <w:rPr>
          <w:rFonts w:ascii="Arial" w:cs="Arial" w:eastAsia="Arial" w:hAnsi="Arial"/>
        </w:rPr>
      </w:pPr>
      <w:r w:rsidDel="00000000" w:rsidR="00000000" w:rsidRPr="00000000">
        <w:rPr>
          <w:b w:val="1"/>
          <w:bCs w:val="1"/>
          <w:rtl w:val="0"/>
        </w:rPr>
        <w:t xml:space="preserve">● Prioritise high-risk learners.</w:t>
      </w:r>
      <w:r w:rsidDel="00000000" w:rsidR="00000000" w:rsidRPr="00000000">
        <w:rPr>
          <w:rFonts w:ascii="Arial" w:cs="Arial" w:eastAsia="Arial" w:hAnsi="Arial"/>
          <w:rtl w:val="0"/>
        </w:rPr>
        <w:t xml:space="preserve"> With </w:t>
      </w:r>
      <w:r w:rsidDel="00000000" w:rsidR="00000000" w:rsidRPr="00000000">
        <w:rPr>
          <w:rFonts w:ascii="Arial" w:cs="Arial" w:eastAsia="Arial" w:hAnsi="Arial"/>
          <w:b w:val="1"/>
          <w:bCs w:val="1"/>
          <w:rtl w:val="0"/>
        </w:rPr>
        <w:t xml:space="preserve">10,691</w:t>
      </w:r>
      <w:r w:rsidDel="00000000" w:rsidR="00000000" w:rsidRPr="00000000">
        <w:rPr>
          <w:rFonts w:ascii="Arial" w:cs="Arial" w:eastAsia="Arial" w:hAnsi="Arial"/>
          <w:rtl w:val="0"/>
        </w:rPr>
        <w:t xml:space="preserve"> students (about 48%) at High or Very High risk, early-warning alerts and adviser follow-ups should be triggered as soon as engagement drops.</w:t>
      </w:r>
    </w:p>
    <w:p w:rsidR="00000000" w:rsidDel="00000000" w:rsidP="00000000" w:rsidRDefault="00000000" w:rsidRPr="00000000" w14:paraId="00000030">
      <w:pPr>
        <w:spacing w:after="120" w:before="220" w:line="264" w:lineRule="auto"/>
        <w:ind w:left="1080" w:hanging="360"/>
        <w:jc w:val="both"/>
        <w:rPr>
          <w:rFonts w:ascii="Arial" w:cs="Arial" w:eastAsia="Arial" w:hAnsi="Arial"/>
        </w:rPr>
      </w:pPr>
      <w:r w:rsidDel="00000000" w:rsidR="00000000" w:rsidRPr="00000000">
        <w:rPr>
          <w:b w:val="1"/>
          <w:bCs w:val="1"/>
          <w:rtl w:val="0"/>
        </w:rPr>
        <w:t xml:space="preserve">● Monitor continuously.</w:t>
      </w:r>
      <w:r w:rsidDel="00000000" w:rsidR="00000000" w:rsidRPr="00000000">
        <w:rPr>
          <w:rFonts w:ascii="Arial" w:cs="Arial" w:eastAsia="Arial" w:hAnsi="Arial"/>
          <w:rtl w:val="0"/>
        </w:rPr>
        <w:t xml:space="preserve"> The interactive drill-downs allow advisers to filter by region, education, gender and engagement level and to act on the segments that need attention.</w:t>
      </w:r>
    </w:p>
    <w:p w:rsidR="00000000" w:rsidDel="00000000" w:rsidP="00000000" w:rsidRDefault="00000000" w:rsidRPr="00000000" w14:paraId="00000031">
      <w:pPr>
        <w:spacing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32">
      <w:pPr>
        <w:spacing w:after="130" w:lineRule="auto"/>
        <w:ind w:left="288" w:firstLine="0"/>
        <w:rPr>
          <w:sz w:val="22"/>
          <w:szCs w:val="22"/>
        </w:rPr>
      </w:pPr>
      <w:r w:rsidDel="00000000" w:rsidR="00000000" w:rsidRPr="00000000">
        <w:rPr>
          <w:rtl w:val="0"/>
        </w:rPr>
      </w:r>
    </w:p>
    <w:sectPr>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