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60" w:after="0"/>
        <w:ind w:left="360" w:right="0" w:hanging="360"/>
        <w:jc w:val="left"/>
        <w:rPr>
          <w:b/>
          <w:sz w:val="24"/>
        </w:rPr>
      </w:pPr>
      <w:r>
        <w:rPr>
          <w:b/>
          <w:sz w:val="24"/>
        </w:rPr>
        <w:t>Comparison</w:t>
      </w:r>
      <w:r>
        <w:rPr>
          <w:b/>
          <w:spacing w:val="52"/>
          <w:sz w:val="24"/>
        </w:rPr>
        <w:t> </w:t>
      </w:r>
      <w:r>
        <w:rPr>
          <w:b/>
          <w:sz w:val="24"/>
        </w:rPr>
        <w:t>Best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Monitoring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Integrated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OpenStack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Ceph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Cluster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1507"/>
        <w:gridCol w:w="1374"/>
        <w:gridCol w:w="1198"/>
        <w:gridCol w:w="1063"/>
        <w:gridCol w:w="1688"/>
        <w:gridCol w:w="852"/>
      </w:tblGrid>
      <w:tr>
        <w:trPr>
          <w:trHeight w:val="579" w:hRule="atLeast"/>
        </w:trPr>
        <w:tc>
          <w:tcPr>
            <w:tcW w:w="1588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Tool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Route</w:t>
            </w:r>
          </w:p>
        </w:tc>
        <w:tc>
          <w:tcPr>
            <w:tcW w:w="1507" w:type="dxa"/>
            <w:shd w:val="clear" w:color="auto" w:fill="D8D8D8"/>
          </w:tcPr>
          <w:p>
            <w:pPr>
              <w:pStyle w:val="TableParagraph"/>
              <w:ind w:right="1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Native OpenStack</w:t>
            </w:r>
          </w:p>
        </w:tc>
        <w:tc>
          <w:tcPr>
            <w:tcW w:w="1374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Native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Ceph</w:t>
            </w:r>
          </w:p>
        </w:tc>
        <w:tc>
          <w:tcPr>
            <w:tcW w:w="1198" w:type="dxa"/>
            <w:shd w:val="clear" w:color="auto" w:fill="D8D8D8"/>
          </w:tcPr>
          <w:p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Unified </w:t>
            </w:r>
            <w:r>
              <w:rPr>
                <w:b/>
                <w:spacing w:val="-4"/>
                <w:sz w:val="20"/>
              </w:rPr>
              <w:t>View</w:t>
            </w:r>
          </w:p>
        </w:tc>
        <w:tc>
          <w:tcPr>
            <w:tcW w:w="1063" w:type="dxa"/>
            <w:shd w:val="clear" w:color="auto" w:fill="D8D8D8"/>
          </w:tcPr>
          <w:p>
            <w:pPr>
              <w:pStyle w:val="TableParagraph"/>
              <w:ind w:right="4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Setup Effort</w:t>
            </w:r>
          </w:p>
        </w:tc>
        <w:tc>
          <w:tcPr>
            <w:tcW w:w="1688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Alerting</w:t>
            </w:r>
          </w:p>
        </w:tc>
        <w:tc>
          <w:tcPr>
            <w:tcW w:w="852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Trends</w:t>
            </w:r>
          </w:p>
        </w:tc>
      </w:tr>
      <w:tr>
        <w:trPr>
          <w:trHeight w:val="579" w:hRule="atLeast"/>
        </w:trPr>
        <w:tc>
          <w:tcPr>
            <w:tcW w:w="1588" w:type="dxa"/>
          </w:tcPr>
          <w:p>
            <w:pPr>
              <w:pStyle w:val="TableParagraph"/>
              <w:ind w:right="354"/>
              <w:rPr>
                <w:sz w:val="20"/>
              </w:rPr>
            </w:pPr>
            <w:r>
              <w:rPr>
                <w:sz w:val="20"/>
              </w:rPr>
              <w:t>Prometheus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2"/>
                <w:sz w:val="20"/>
              </w:rPr>
              <w:t>Grafana</w:t>
            </w:r>
          </w:p>
        </w:tc>
        <w:tc>
          <w:tcPr>
            <w:tcW w:w="1507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Kolla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137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native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1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one </w:t>
            </w:r>
            <w:r>
              <w:rPr>
                <w:spacing w:val="-2"/>
                <w:sz w:val="20"/>
              </w:rPr>
              <w:t>Grafana</w:t>
            </w:r>
          </w:p>
        </w:tc>
        <w:tc>
          <w:tcPr>
            <w:tcW w:w="10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Built-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579" w:hRule="atLeast"/>
        </w:trPr>
        <w:tc>
          <w:tcPr>
            <w:tcW w:w="15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Zabbix</w:t>
            </w:r>
          </w:p>
        </w:tc>
        <w:tc>
          <w:tcPr>
            <w:tcW w:w="1507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custom </w:t>
            </w:r>
            <w:r>
              <w:rPr>
                <w:spacing w:val="-2"/>
                <w:sz w:val="20"/>
              </w:rPr>
              <w:t>scripts</w:t>
            </w:r>
          </w:p>
        </w:tc>
        <w:tc>
          <w:tcPr>
            <w:tcW w:w="137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custom </w:t>
            </w:r>
            <w:r>
              <w:rPr>
                <w:spacing w:val="-2"/>
                <w:sz w:val="20"/>
              </w:rPr>
              <w:t>scripts</w:t>
            </w:r>
          </w:p>
        </w:tc>
        <w:tc>
          <w:tcPr>
            <w:tcW w:w="1198" w:type="dxa"/>
          </w:tcPr>
          <w:p>
            <w:pPr>
              <w:pStyle w:val="TableParagraph"/>
              <w:ind w:right="255"/>
              <w:rPr>
                <w:sz w:val="20"/>
              </w:rPr>
            </w:pPr>
            <w:r>
              <w:rPr>
                <w:sz w:val="20"/>
              </w:rPr>
              <w:t>No — </w:t>
            </w:r>
            <w:r>
              <w:rPr>
                <w:spacing w:val="-2"/>
                <w:sz w:val="20"/>
              </w:rPr>
              <w:t>hand-built</w:t>
            </w:r>
          </w:p>
        </w:tc>
        <w:tc>
          <w:tcPr>
            <w:tcW w:w="10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Built-in, </w:t>
            </w:r>
            <w:r>
              <w:rPr>
                <w:spacing w:val="-2"/>
                <w:sz w:val="20"/>
              </w:rPr>
              <w:t>custom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579" w:hRule="atLeast"/>
        </w:trPr>
        <w:tc>
          <w:tcPr>
            <w:tcW w:w="1588" w:type="dxa"/>
          </w:tcPr>
          <w:p>
            <w:pPr>
              <w:pStyle w:val="TableParagraph"/>
              <w:ind w:right="123"/>
              <w:rPr>
                <w:sz w:val="20"/>
              </w:rPr>
            </w:pPr>
            <w:r>
              <w:rPr>
                <w:sz w:val="20"/>
              </w:rPr>
              <w:t>Ceph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Dashboard </w:t>
            </w:r>
            <w:r>
              <w:rPr>
                <w:spacing w:val="-2"/>
                <w:sz w:val="20"/>
              </w:rPr>
              <w:t>(alone)</w:t>
            </w:r>
          </w:p>
        </w:tc>
        <w:tc>
          <w:tcPr>
            <w:tcW w:w="1507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blind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OpenStack</w:t>
            </w:r>
          </w:p>
        </w:tc>
        <w:tc>
          <w:tcPr>
            <w:tcW w:w="1374" w:type="dxa"/>
          </w:tcPr>
          <w:p>
            <w:pPr>
              <w:pStyle w:val="TableParagraph"/>
              <w:ind w:right="82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live state only</w:t>
            </w:r>
          </w:p>
        </w:tc>
        <w:tc>
          <w:tcPr>
            <w:tcW w:w="1198" w:type="dxa"/>
          </w:tcPr>
          <w:p>
            <w:pPr>
              <w:pStyle w:val="TableParagraph"/>
              <w:ind w:right="231"/>
              <w:rPr>
                <w:sz w:val="20"/>
              </w:rPr>
            </w:pPr>
            <w:r>
              <w:rPr>
                <w:sz w:val="20"/>
              </w:rPr>
              <w:t>No — </w:t>
            </w:r>
            <w:r>
              <w:rPr>
                <w:spacing w:val="-2"/>
                <w:sz w:val="20"/>
              </w:rPr>
              <w:t>Ceph-</w:t>
            </w:r>
            <w:r>
              <w:rPr>
                <w:spacing w:val="-2"/>
                <w:sz w:val="20"/>
              </w:rPr>
              <w:t>only</w:t>
            </w:r>
          </w:p>
        </w:tc>
        <w:tc>
          <w:tcPr>
            <w:tcW w:w="10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 </w:t>
            </w: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809" w:hRule="atLeast"/>
        </w:trPr>
        <w:tc>
          <w:tcPr>
            <w:tcW w:w="1588" w:type="dxa"/>
          </w:tcPr>
          <w:p>
            <w:pPr>
              <w:pStyle w:val="TableParagraph"/>
              <w:ind w:right="532"/>
              <w:rPr>
                <w:sz w:val="20"/>
              </w:rPr>
            </w:pPr>
            <w:r>
              <w:rPr>
                <w:sz w:val="20"/>
              </w:rPr>
              <w:t>Telegraf + InfluxDB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2"/>
                <w:sz w:val="20"/>
              </w:rPr>
              <w:t>Grafana</w:t>
            </w:r>
          </w:p>
        </w:tc>
        <w:tc>
          <w:tcPr>
            <w:tcW w:w="1507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z w:val="20"/>
              </w:rPr>
              <w:t>Partial — custom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plugins</w:t>
            </w:r>
          </w:p>
        </w:tc>
        <w:tc>
          <w:tcPr>
            <w:tcW w:w="1374" w:type="dxa"/>
          </w:tcPr>
          <w:p>
            <w:pPr>
              <w:pStyle w:val="TableParagraph"/>
              <w:ind w:right="480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2"/>
                <w:sz w:val="20"/>
              </w:rPr>
              <w:t>custom plugins</w:t>
            </w:r>
          </w:p>
        </w:tc>
        <w:tc>
          <w:tcPr>
            <w:tcW w:w="1198" w:type="dxa"/>
          </w:tcPr>
          <w:p>
            <w:pPr>
              <w:pStyle w:val="TableParagraph"/>
              <w:ind w:right="488"/>
              <w:jc w:val="both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2"/>
                <w:sz w:val="20"/>
              </w:rPr>
              <w:t>manual build</w:t>
            </w:r>
          </w:p>
        </w:tc>
        <w:tc>
          <w:tcPr>
            <w:tcW w:w="10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Via </w:t>
            </w:r>
            <w:r>
              <w:rPr>
                <w:spacing w:val="-2"/>
                <w:sz w:val="20"/>
              </w:rPr>
              <w:t>Grafana/Kapacitor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809" w:hRule="atLeast"/>
        </w:trPr>
        <w:tc>
          <w:tcPr>
            <w:tcW w:w="15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ELK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OpenSearch (alone)</w:t>
            </w:r>
          </w:p>
        </w:tc>
        <w:tc>
          <w:tcPr>
            <w:tcW w:w="1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374" w:type="dxa"/>
          </w:tcPr>
          <w:p>
            <w:pPr>
              <w:pStyle w:val="TableParagraph"/>
              <w:ind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logs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1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logs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0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852" w:type="dxa"/>
          </w:tcPr>
          <w:p>
            <w:pPr>
              <w:pStyle w:val="TableParagraph"/>
              <w:ind w:right="329"/>
              <w:rPr>
                <w:sz w:val="20"/>
              </w:rPr>
            </w:pPr>
            <w:r>
              <w:rPr>
                <w:spacing w:val="-4"/>
                <w:sz w:val="20"/>
              </w:rPr>
              <w:t>Logs only</w:t>
            </w:r>
          </w:p>
        </w:tc>
      </w:tr>
      <w:tr>
        <w:trPr>
          <w:trHeight w:val="809" w:hRule="atLeast"/>
        </w:trPr>
        <w:tc>
          <w:tcPr>
            <w:tcW w:w="15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Nagios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Icinga</w:t>
            </w:r>
          </w:p>
        </w:tc>
        <w:tc>
          <w:tcPr>
            <w:tcW w:w="1507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custom </w:t>
            </w:r>
            <w:r>
              <w:rPr>
                <w:spacing w:val="-2"/>
                <w:sz w:val="20"/>
              </w:rPr>
              <w:t>scripts</w:t>
            </w:r>
          </w:p>
        </w:tc>
        <w:tc>
          <w:tcPr>
            <w:tcW w:w="137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custom </w:t>
            </w:r>
            <w:r>
              <w:rPr>
                <w:spacing w:val="-2"/>
                <w:sz w:val="20"/>
              </w:rPr>
              <w:t>scripts</w:t>
            </w:r>
          </w:p>
        </w:tc>
        <w:tc>
          <w:tcPr>
            <w:tcW w:w="1198" w:type="dxa"/>
          </w:tcPr>
          <w:p>
            <w:pPr>
              <w:pStyle w:val="TableParagraph"/>
              <w:ind w:right="376"/>
              <w:rPr>
                <w:sz w:val="20"/>
              </w:rPr>
            </w:pPr>
            <w:r>
              <w:rPr>
                <w:sz w:val="20"/>
              </w:rPr>
              <w:t>No — </w:t>
            </w:r>
            <w:r>
              <w:rPr>
                <w:spacing w:val="-2"/>
                <w:sz w:val="20"/>
              </w:rPr>
              <w:t>up/down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0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685" w:hRule="atLeast"/>
        </w:trPr>
        <w:tc>
          <w:tcPr>
            <w:tcW w:w="1588" w:type="dxa"/>
          </w:tcPr>
          <w:p>
            <w:pPr>
              <w:pStyle w:val="TableParagraph"/>
              <w:ind w:right="390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separate </w:t>
            </w:r>
            <w:r>
              <w:rPr>
                <w:spacing w:val="-2"/>
                <w:sz w:val="20"/>
              </w:rPr>
              <w:t>Grafanas</w:t>
            </w:r>
          </w:p>
        </w:tc>
        <w:tc>
          <w:tcPr>
            <w:tcW w:w="1507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z w:val="20"/>
              </w:rPr>
              <w:t>Yes (via </w:t>
            </w:r>
            <w:r>
              <w:rPr>
                <w:spacing w:val="-2"/>
                <w:sz w:val="20"/>
              </w:rPr>
              <w:t>Prometheus)</w:t>
            </w:r>
          </w:p>
        </w:tc>
        <w:tc>
          <w:tcPr>
            <w:tcW w:w="137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 (via </w:t>
            </w:r>
            <w:r>
              <w:rPr>
                <w:spacing w:val="-2"/>
                <w:sz w:val="20"/>
              </w:rPr>
              <w:t>Prometheus)</w:t>
            </w:r>
          </w:p>
        </w:tc>
        <w:tc>
          <w:tcPr>
            <w:tcW w:w="11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two </w:t>
            </w:r>
            <w:r>
              <w:rPr>
                <w:spacing w:val="-2"/>
                <w:sz w:val="20"/>
              </w:rPr>
              <w:t>screens</w:t>
            </w:r>
          </w:p>
        </w:tc>
        <w:tc>
          <w:tcPr>
            <w:tcW w:w="10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Split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pipelines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  <w:rPr>
          <w:b/>
          <w:sz w:val="26"/>
        </w:rPr>
      </w:pPr>
      <w:r>
        <w:rPr>
          <w:b/>
          <w:sz w:val="26"/>
        </w:rPr>
        <w:t>Newer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Alternative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Tools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Compared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Prometheus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+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Grafana</w:t>
      </w:r>
      <w:r>
        <w:rPr>
          <w:b/>
          <w:spacing w:val="-2"/>
          <w:sz w:val="26"/>
        </w:rPr>
        <w:t> (2026)</w:t>
      </w:r>
    </w:p>
    <w:p>
      <w:pPr>
        <w:pStyle w:val="BodyText"/>
        <w:spacing w:before="6"/>
        <w:rPr>
          <w:b/>
          <w:sz w:val="13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3827"/>
        <w:gridCol w:w="3302"/>
      </w:tblGrid>
      <w:tr>
        <w:trPr>
          <w:trHeight w:val="349" w:hRule="atLeast"/>
        </w:trPr>
        <w:tc>
          <w:tcPr>
            <w:tcW w:w="1872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3827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What's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Newer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Better</w:t>
            </w:r>
          </w:p>
        </w:tc>
        <w:tc>
          <w:tcPr>
            <w:tcW w:w="3302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Why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It's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Right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Swap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Here</w:t>
            </w:r>
          </w:p>
        </w:tc>
      </w:tr>
      <w:tr>
        <w:trPr>
          <w:trHeight w:val="1039" w:hRule="atLeast"/>
        </w:trPr>
        <w:tc>
          <w:tcPr>
            <w:tcW w:w="187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VictoriaMetrics</w:t>
            </w:r>
          </w:p>
        </w:tc>
        <w:tc>
          <w:tcPr>
            <w:tcW w:w="3827" w:type="dxa"/>
          </w:tcPr>
          <w:p>
            <w:pPr>
              <w:pStyle w:val="TableParagraph"/>
              <w:ind w:right="125"/>
              <w:rPr>
                <w:sz w:val="20"/>
              </w:rPr>
            </w:pPr>
            <w:r>
              <w:rPr>
                <w:sz w:val="20"/>
              </w:rPr>
              <w:t>Best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drop-in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replacement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 long-term storage, high-cardinality support, and lower resource usage at very large scale</w:t>
            </w:r>
          </w:p>
        </w:tc>
        <w:tc>
          <w:tcPr>
            <w:tcW w:w="33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Solves a scale problem not currently present;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Kolla-Ansible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ship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it by default, so the "already deployed" advantage is lost</w:t>
            </w:r>
          </w:p>
        </w:tc>
      </w:tr>
      <w:tr>
        <w:trPr>
          <w:trHeight w:val="1039" w:hRule="atLeast"/>
        </w:trPr>
        <w:tc>
          <w:tcPr>
            <w:tcW w:w="187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Grafana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Mimir</w:t>
            </w:r>
          </w:p>
        </w:tc>
        <w:tc>
          <w:tcPr>
            <w:tcW w:w="3827" w:type="dxa"/>
          </w:tcPr>
          <w:p>
            <w:pPr>
              <w:pStyle w:val="TableParagraph"/>
              <w:ind w:right="433"/>
              <w:rPr>
                <w:sz w:val="20"/>
              </w:rPr>
            </w:pPr>
            <w:r>
              <w:rPr>
                <w:sz w:val="20"/>
              </w:rPr>
              <w:t>Open-source,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horizontally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scalable,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API-compatible with Prometheus, built for billions of metrics across many tenants</w:t>
            </w:r>
          </w:p>
        </w:tc>
        <w:tc>
          <w:tcPr>
            <w:tcW w:w="3302" w:type="dxa"/>
          </w:tcPr>
          <w:p>
            <w:pPr>
              <w:pStyle w:val="TableParagraph"/>
              <w:ind w:right="171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multi-cluster,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multi-tenant environments at massive scale overkill for a single OpenStack + Ceph cluster</w:t>
            </w:r>
          </w:p>
        </w:tc>
      </w:tr>
      <w:tr>
        <w:trPr>
          <w:trHeight w:val="809" w:hRule="atLeast"/>
        </w:trPr>
        <w:tc>
          <w:tcPr>
            <w:tcW w:w="187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SigNoz / </w:t>
            </w:r>
            <w:r>
              <w:rPr>
                <w:spacing w:val="-2"/>
                <w:sz w:val="20"/>
              </w:rPr>
              <w:t>OpenObserve</w:t>
            </w:r>
          </w:p>
        </w:tc>
        <w:tc>
          <w:tcPr>
            <w:tcW w:w="3827" w:type="dxa"/>
          </w:tcPr>
          <w:p>
            <w:pPr>
              <w:pStyle w:val="TableParagraph"/>
              <w:ind w:right="125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natively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OpenTelemetry;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unifies logs, metrics, and traces in one interface without the fragmented LGTM stack</w:t>
            </w:r>
          </w:p>
        </w:tc>
        <w:tc>
          <w:tcPr>
            <w:tcW w:w="33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Neither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OpenStack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Ceph exporters — reverts to custom integration work</w:t>
            </w:r>
          </w:p>
        </w:tc>
      </w:tr>
      <w:tr>
        <w:trPr>
          <w:trHeight w:val="809" w:hRule="atLeast"/>
        </w:trPr>
        <w:tc>
          <w:tcPr>
            <w:tcW w:w="1872" w:type="dxa"/>
          </w:tcPr>
          <w:p>
            <w:pPr>
              <w:pStyle w:val="TableParagraph"/>
              <w:ind w:right="140"/>
              <w:rPr>
                <w:sz w:val="20"/>
              </w:rPr>
            </w:pPr>
            <w:r>
              <w:rPr>
                <w:sz w:val="20"/>
              </w:rPr>
              <w:t>Datadog / New Relic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SolarWinds</w:t>
            </w:r>
          </w:p>
        </w:tc>
        <w:tc>
          <w:tcPr>
            <w:tcW w:w="3827" w:type="dxa"/>
          </w:tcPr>
          <w:p>
            <w:pPr>
              <w:pStyle w:val="TableParagraph"/>
              <w:ind w:right="125"/>
              <w:rPr>
                <w:sz w:val="20"/>
              </w:rPr>
            </w:pPr>
            <w:r>
              <w:rPr>
                <w:sz w:val="20"/>
              </w:rPr>
              <w:t>Fully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managed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SaaS;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eliminates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operational complexity; built-in APM/tracing and anomaly detection</w:t>
            </w:r>
          </w:p>
        </w:tc>
        <w:tc>
          <w:tcPr>
            <w:tcW w:w="3302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Paid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SaaS,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infrastructure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a third party — not viable for a self-hosted production deployment</w:t>
            </w:r>
          </w:p>
        </w:tc>
      </w:tr>
      <w:tr>
        <w:trPr>
          <w:trHeight w:val="809" w:hRule="atLeast"/>
        </w:trPr>
        <w:tc>
          <w:tcPr>
            <w:tcW w:w="187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Last9</w:t>
            </w:r>
          </w:p>
        </w:tc>
        <w:tc>
          <w:tcPr>
            <w:tcW w:w="3827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observability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platform,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Prometheus and OpenTelemetry compatible; handles high-cardinality data at scale</w:t>
            </w:r>
          </w:p>
        </w:tc>
        <w:tc>
          <w:tcPr>
            <w:tcW w:w="3302" w:type="dxa"/>
          </w:tcPr>
          <w:p>
            <w:pPr>
              <w:pStyle w:val="TableParagraph"/>
              <w:ind w:right="171"/>
              <w:rPr>
                <w:sz w:val="20"/>
              </w:rPr>
            </w:pPr>
            <w:r>
              <w:rPr>
                <w:sz w:val="20"/>
              </w:rPr>
              <w:t>Managed/paid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aimed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large-scale, multi-cluster observability — not needed at this cluster size</w:t>
            </w:r>
          </w:p>
        </w:tc>
      </w:tr>
      <w:tr>
        <w:trPr>
          <w:trHeight w:val="809" w:hRule="atLeast"/>
        </w:trPr>
        <w:tc>
          <w:tcPr>
            <w:tcW w:w="187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Thanos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Cortex</w:t>
            </w:r>
          </w:p>
        </w:tc>
        <w:tc>
          <w:tcPr>
            <w:tcW w:w="3827" w:type="dxa"/>
          </w:tcPr>
          <w:p>
            <w:pPr>
              <w:pStyle w:val="TableParagraph"/>
              <w:ind w:right="128"/>
              <w:rPr>
                <w:sz w:val="20"/>
              </w:rPr>
            </w:pPr>
            <w:r>
              <w:rPr>
                <w:sz w:val="20"/>
              </w:rPr>
              <w:t>Solves Prometheus's single-instance storage/retention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limits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large,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multi-cluster environments</w:t>
            </w:r>
          </w:p>
        </w:tc>
        <w:tc>
          <w:tcPr>
            <w:tcW w:w="3302" w:type="dxa"/>
          </w:tcPr>
          <w:p>
            <w:pPr>
              <w:pStyle w:val="TableParagraph"/>
              <w:ind w:right="260"/>
              <w:rPr>
                <w:sz w:val="20"/>
              </w:rPr>
            </w:pPr>
            <w:r>
              <w:rPr>
                <w:sz w:val="20"/>
              </w:rPr>
              <w:t>Adds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operational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complexity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— only worth it once one Prometheus instance genuinely cannot keep up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76" w:lineRule="auto" w:before="80"/>
        <w:ind w:right="505"/>
      </w:pPr>
      <w:r>
        <w:rPr/>
        <w:t>Conclusion:</w:t>
      </w:r>
      <w:r>
        <w:rPr>
          <w:spacing w:val="-3"/>
        </w:rPr>
        <w:t> </w:t>
      </w:r>
      <w:r>
        <w:rPr/>
        <w:t>none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fit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today.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solves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this cluster does not have — massive scale, multi-tenant observability, or fully managed hosting. If the deployment grows significantly in scale, VictoriaMetrics is the most natural upgrade path, since it is PromQL-compatible and near drop-in.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4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5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2" w:hanging="5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4" w:hanging="5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6" w:hanging="5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8" w:hanging="5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1" w:hanging="5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3" w:hanging="5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5" w:hanging="5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5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2026-07-06T06:35:54Z</dcterms:created>
  <dcterms:modified xsi:type="dcterms:W3CDTF">2026-07-06T06:35:54Z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