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 Cloud Infrastructure Security  Guide " w:id="1"/>
      <w:bookmarkEnd w:id="1"/>
      <w:r>
        <w:rPr>
          <w:b w:val="0"/>
        </w:rPr>
      </w:r>
      <w:r>
        <w:rPr/>
        <w:t>Cloud</w:t>
      </w:r>
      <w:r>
        <w:rPr>
          <w:spacing w:val="-6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Security</w:t>
      </w:r>
      <w:r>
        <w:rPr>
          <w:spacing w:val="38"/>
          <w:w w:val="150"/>
        </w:rPr>
        <w:t> </w:t>
      </w:r>
      <w:r>
        <w:rPr>
          <w:spacing w:val="-2"/>
        </w:rPr>
        <w:t>Guide</w:t>
      </w:r>
    </w:p>
    <w:p>
      <w:pPr>
        <w:pStyle w:val="Heading2"/>
        <w:spacing w:before="221"/>
        <w:ind w:firstLine="0"/>
      </w:pPr>
      <w:bookmarkStart w:name=" Executive Summary " w:id="2"/>
      <w:bookmarkEnd w:id="2"/>
      <w:r>
        <w:rPr>
          <w:b w:val="0"/>
        </w:rPr>
      </w:r>
      <w:r>
        <w:rPr/>
        <w:t>Executive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pStyle w:val="BodyText"/>
        <w:spacing w:before="127"/>
        <w:ind w:right="368"/>
      </w:pP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consolidates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area,</w:t>
      </w:r>
      <w:r>
        <w:rPr>
          <w:spacing w:val="-5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framework,</w:t>
      </w:r>
      <w:r>
        <w:rPr>
          <w:spacing w:val="-5"/>
        </w:rPr>
        <w:t> </w:t>
      </w:r>
      <w:r>
        <w:rPr/>
        <w:t>standard,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methodology relevant to this multi-node OpenStack data center deployment, built with Kolla-Ansible. It is organized the same way the deployment's monitoring documentation is organized, by area, with the actual implementation detail alongside each control, not just the concept.</w:t>
      </w:r>
    </w:p>
    <w:p>
      <w:pPr>
        <w:pStyle w:val="BodyText"/>
        <w:ind w:right="368"/>
      </w:pPr>
      <w:r>
        <w:rPr/>
        <w:t>The</w:t>
      </w:r>
      <w:r>
        <w:rPr>
          <w:spacing w:val="-4"/>
        </w:rPr>
        <w:t> </w:t>
      </w:r>
      <w:r>
        <w:rPr/>
        <w:t>quick-reference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condensed,</w:t>
      </w:r>
      <w:r>
        <w:rPr>
          <w:spacing w:val="-4"/>
        </w:rPr>
        <w:t> </w:t>
      </w:r>
      <w:r>
        <w:rPr/>
        <w:t>ten-area</w:t>
      </w:r>
      <w:r>
        <w:rPr>
          <w:spacing w:val="-4"/>
        </w:rPr>
        <w:t> </w:t>
      </w:r>
      <w:r>
        <w:rPr/>
        <w:t>summary.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step-by-step implementation for every row follows in the numbered sections after it.</w:t>
      </w:r>
    </w:p>
    <w:p>
      <w:pPr>
        <w:pStyle w:val="BodyText"/>
        <w:spacing w:before="5"/>
        <w:ind w:left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1"/>
        <w:gridCol w:w="6864"/>
      </w:tblGrid>
      <w:tr>
        <w:trPr>
          <w:trHeight w:val="434" w:hRule="atLeast"/>
        </w:trPr>
        <w:tc>
          <w:tcPr>
            <w:tcW w:w="249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Security </w:t>
            </w:r>
            <w:r>
              <w:rPr>
                <w:b/>
                <w:spacing w:val="-4"/>
                <w:sz w:val="20"/>
              </w:rPr>
              <w:t>Area</w:t>
            </w:r>
          </w:p>
        </w:tc>
        <w:tc>
          <w:tcPr>
            <w:tcW w:w="6864" w:type="dxa"/>
          </w:tcPr>
          <w:p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</w:tr>
      <w:tr>
        <w:trPr>
          <w:trHeight w:val="434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6864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Keystone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RBAC,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privilege,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MFA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admin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accounts,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credentials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Network </w:t>
            </w:r>
            <w:r>
              <w:rPr>
                <w:spacing w:val="-2"/>
                <w:sz w:val="20"/>
              </w:rPr>
              <w:t>segmentation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 w:right="411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management,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tenant,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storage/Ceph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networks;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deny-by-default security groups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encryption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 w:right="411"/>
              <w:rPr>
                <w:sz w:val="20"/>
              </w:rPr>
            </w:pPr>
            <w:r>
              <w:rPr>
                <w:sz w:val="20"/>
              </w:rPr>
              <w:t>TLS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Horizon;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OSD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encryption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rest; Barbican-backed volume encryption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Secrets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/>
              <w:rPr>
                <w:sz w:val="20"/>
              </w:rPr>
            </w:pPr>
            <w:r>
              <w:rPr>
                <w:sz w:val="20"/>
              </w:rPr>
              <w:t>kolla-genpwd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passwords.yml,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encrypted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Ansible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Vault;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scheduled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credential </w:t>
            </w:r>
            <w:r>
              <w:rPr>
                <w:spacing w:val="-2"/>
                <w:sz w:val="20"/>
              </w:rPr>
              <w:t>rotation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hardening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 w:right="411"/>
              <w:rPr>
                <w:sz w:val="20"/>
              </w:rPr>
            </w:pPr>
            <w:r>
              <w:rPr>
                <w:sz w:val="20"/>
              </w:rPr>
              <w:t>CIS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Benchmark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scoring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Lynis;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Trivy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scanning;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fail2ban;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unused services disabled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Patch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 w:right="355"/>
              <w:rPr>
                <w:sz w:val="20"/>
              </w:rPr>
            </w:pPr>
            <w:r>
              <w:rPr>
                <w:sz w:val="20"/>
              </w:rPr>
              <w:t>CVE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images;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scheduled kolla-ansible pull/deploy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(Ceph)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 w:right="521"/>
              <w:rPr>
                <w:sz w:val="20"/>
              </w:rPr>
            </w:pPr>
            <w:r>
              <w:rPr>
                <w:sz w:val="20"/>
              </w:rPr>
              <w:t>CephX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authentication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always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admin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tightly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restricted;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per-tenant pool isolation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 w:right="386"/>
              <w:rPr>
                <w:sz w:val="20"/>
              </w:rPr>
            </w:pPr>
            <w:r>
              <w:rPr>
                <w:sz w:val="20"/>
              </w:rPr>
              <w:t>Keystone/Nova/Neutron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CADF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shipped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OpenSearch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who-did-what-when trail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spacing w:line="288" w:lineRule="auto"/>
              <w:ind w:right="137"/>
              <w:rPr>
                <w:sz w:val="20"/>
              </w:rPr>
            </w:pPr>
            <w:r>
              <w:rPr>
                <w:sz w:val="20"/>
              </w:rPr>
              <w:t>Intrusion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anomaly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/>
              <w:rPr>
                <w:sz w:val="20"/>
              </w:rPr>
            </w:pPr>
            <w:r>
              <w:rPr>
                <w:sz w:val="20"/>
              </w:rPr>
              <w:t>auditd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system-call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file-integrity/privilege-escalation monitoring, with its own dedicated alert path</w:t>
            </w:r>
          </w:p>
        </w:tc>
      </w:tr>
      <w:tr>
        <w:trPr>
          <w:trHeight w:val="710" w:hRule="atLeast"/>
        </w:trPr>
        <w:tc>
          <w:tcPr>
            <w:tcW w:w="24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Backup </w:t>
            </w: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left="101"/>
              <w:rPr>
                <w:sz w:val="20"/>
              </w:rPr>
            </w:pPr>
            <w:r>
              <w:rPr>
                <w:sz w:val="20"/>
              </w:rPr>
              <w:t>Encrypted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backups,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regularly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restores,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 controls as production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640" w:val="left" w:leader="none"/>
        </w:tabs>
        <w:spacing w:line="240" w:lineRule="auto" w:before="167" w:after="0"/>
        <w:ind w:left="640" w:right="0" w:hanging="280"/>
        <w:jc w:val="left"/>
      </w:pPr>
      <w:bookmarkStart w:name="1. Security Overview " w:id="3"/>
      <w:bookmarkEnd w:id="3"/>
      <w:r>
        <w:rPr>
          <w:b w:val="0"/>
        </w:rPr>
      </w:r>
      <w:r>
        <w:rPr/>
        <w:t>Security</w:t>
      </w:r>
      <w:r>
        <w:rPr>
          <w:spacing w:val="-2"/>
        </w:rPr>
        <w:t> Overview</w:t>
      </w:r>
    </w:p>
    <w:p>
      <w:pPr>
        <w:pStyle w:val="BodyText"/>
        <w:spacing w:before="127"/>
        <w:ind w:right="368"/>
      </w:pPr>
      <w:r>
        <w:rPr/>
        <w:t>This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runs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OpenStack</w:t>
      </w:r>
      <w:r>
        <w:rPr>
          <w:spacing w:val="-5"/>
        </w:rPr>
        <w:t> </w:t>
      </w:r>
      <w:r>
        <w:rPr/>
        <w:t>service,</w:t>
      </w:r>
      <w:r>
        <w:rPr>
          <w:spacing w:val="-5"/>
        </w:rPr>
        <w:t> </w:t>
      </w:r>
      <w:r>
        <w:rPr/>
        <w:t>Nova,</w:t>
      </w:r>
      <w:r>
        <w:rPr>
          <w:spacing w:val="-5"/>
        </w:rPr>
        <w:t> </w:t>
      </w:r>
      <w:r>
        <w:rPr/>
        <w:t>Neutron,</w:t>
      </w:r>
      <w:r>
        <w:rPr>
          <w:spacing w:val="-5"/>
        </w:rPr>
        <w:t> </w:t>
      </w:r>
      <w:r>
        <w:rPr/>
        <w:t>Keystone,</w:t>
      </w:r>
      <w:r>
        <w:rPr>
          <w:spacing w:val="-5"/>
        </w:rPr>
        <w:t> </w:t>
      </w:r>
      <w:r>
        <w:rPr/>
        <w:t>Glance,</w:t>
      </w:r>
      <w:r>
        <w:rPr>
          <w:spacing w:val="-5"/>
        </w:rPr>
        <w:t> </w:t>
      </w:r>
      <w:r>
        <w:rPr/>
        <w:t>Cinder,</w:t>
      </w:r>
      <w:r>
        <w:rPr>
          <w:spacing w:val="-5"/>
        </w:rPr>
        <w:t> </w:t>
      </w:r>
      <w:r>
        <w:rPr/>
        <w:t>Heat, Octavia, Horizon, as an open-source Docker container, orchestrated by Kolla-Ansible across multiple nodes in a physical data center.</w:t>
      </w:r>
    </w:p>
    <w:p>
      <w:pPr>
        <w:pStyle w:val="BodyText"/>
        <w:ind w:right="368"/>
      </w:pPr>
      <w:r>
        <w:rPr/>
        <w:t>Because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source,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vulnerability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it is disclosed. There is no vendor silently patching in the background and no single company responsible for the code's safety. That responsibility sits entirely with whoever operates the</w:t>
      </w:r>
    </w:p>
    <w:p>
      <w:pPr>
        <w:pStyle w:val="BodyText"/>
        <w:spacing w:after="0"/>
        <w:sectPr>
          <w:type w:val="continuous"/>
          <w:pgSz w:w="12240" w:h="15840"/>
          <w:pgMar w:top="1260" w:bottom="280" w:left="1080" w:right="1080"/>
        </w:sectPr>
      </w:pPr>
    </w:p>
    <w:p>
      <w:pPr>
        <w:pStyle w:val="BodyText"/>
        <w:spacing w:before="73"/>
      </w:pPr>
      <w:r>
        <w:rPr/>
        <w:t>deployment,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reason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treats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continuous,</w:t>
      </w:r>
      <w:r>
        <w:rPr>
          <w:spacing w:val="-4"/>
        </w:rPr>
        <w:t> </w:t>
      </w:r>
      <w:r>
        <w:rPr/>
        <w:t>layered</w:t>
      </w:r>
      <w:r>
        <w:rPr>
          <w:spacing w:val="-4"/>
        </w:rPr>
        <w:t> </w:t>
      </w:r>
      <w:r>
        <w:rPr/>
        <w:t>discipline rather than a one-time setup checklist.</w:t>
      </w:r>
    </w:p>
    <w:p>
      <w:pPr>
        <w:pStyle w:val="BodyText"/>
        <w:ind w:right="428"/>
      </w:pPr>
      <w:r>
        <w:rPr/>
        <w:t>The structure of this document borrows the five-stage cycle from the NIST Cybersecurity Framework: know what is running (Identify), lock it down (Protect), watch for intrusion (Detect),</w:t>
      </w:r>
      <w:r>
        <w:rPr>
          <w:spacing w:val="-4"/>
        </w:rPr>
        <w:t> </w:t>
      </w:r>
      <w:r>
        <w:rPr/>
        <w:t>act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happens</w:t>
      </w:r>
      <w:r>
        <w:rPr>
          <w:spacing w:val="-4"/>
        </w:rPr>
        <w:t> </w:t>
      </w:r>
      <w:r>
        <w:rPr/>
        <w:t>(Respond),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normal</w:t>
      </w:r>
      <w:r>
        <w:rPr>
          <w:spacing w:val="-4"/>
        </w:rPr>
        <w:t> </w:t>
      </w:r>
      <w:r>
        <w:rPr/>
        <w:t>cleanly</w:t>
      </w:r>
      <w:r>
        <w:rPr>
          <w:spacing w:val="-4"/>
        </w:rPr>
        <w:t> </w:t>
      </w:r>
      <w:r>
        <w:rPr/>
        <w:t>(Recover). Every section from here onward maps to one of these five stages, and that mapping is made explicit in Section 17.</w:t>
      </w:r>
    </w:p>
    <w:p>
      <w:pPr>
        <w:pStyle w:val="Heading3"/>
        <w:numPr>
          <w:ilvl w:val="1"/>
          <w:numId w:val="1"/>
        </w:numPr>
        <w:tabs>
          <w:tab w:pos="720" w:val="left" w:leader="none"/>
        </w:tabs>
        <w:spacing w:line="240" w:lineRule="auto" w:before="200" w:after="0"/>
        <w:ind w:left="720" w:right="0" w:hanging="360"/>
        <w:jc w:val="left"/>
      </w:pPr>
      <w:bookmarkStart w:name="1.1 Why Open Source Changes the Security" w:id="4"/>
      <w:bookmarkEnd w:id="4"/>
      <w:r>
        <w:rPr>
          <w:b w:val="0"/>
        </w:rPr>
      </w:r>
      <w:r>
        <w:rPr/>
        <w:t>Why</w:t>
      </w:r>
      <w:r>
        <w:rPr>
          <w:spacing w:val="-3"/>
        </w:rPr>
        <w:t> </w:t>
      </w:r>
      <w:r>
        <w:rPr/>
        <w:t>Open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Changes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Approach</w:t>
      </w:r>
    </w:p>
    <w:p>
      <w:pPr>
        <w:pStyle w:val="BodyText"/>
        <w:spacing w:before="103"/>
        <w:ind w:right="395"/>
      </w:pPr>
      <w:r>
        <w:rPr/>
        <w:t>An open-source deployment is not inherently less secure than a commercial one, but it does shift where responsibility sits. Vulnerabilities in Nova, Neutron, Ceph, RabbitMQ, or Docker itself</w:t>
      </w:r>
      <w:r>
        <w:rPr>
          <w:spacing w:val="40"/>
        </w:rPr>
        <w:t> </w:t>
      </w:r>
      <w:r>
        <w:rPr/>
        <w:t>are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instant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disclosed,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vendor</w:t>
      </w:r>
      <w:r>
        <w:rPr>
          <w:spacing w:val="-3"/>
        </w:rPr>
        <w:t> </w:t>
      </w:r>
      <w:r>
        <w:rPr/>
        <w:t>absorbing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delay</w:t>
      </w:r>
      <w:r>
        <w:rPr>
          <w:spacing w:val="-3"/>
        </w:rPr>
        <w:t> </w:t>
      </w:r>
      <w:r>
        <w:rPr/>
        <w:t>window before a patch quietly ships. Anyone, including an attacker, can read the exact source code running in this deployment, so security here cannot lean on obscurity; it has to come from correctly applied, verifiable controls.</w:t>
      </w:r>
    </w:p>
    <w:p>
      <w:pPr>
        <w:pStyle w:val="BodyText"/>
        <w:ind w:right="394"/>
      </w:pPr>
      <w:r>
        <w:rPr/>
        <w:t>This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patch</w:t>
      </w:r>
      <w:r>
        <w:rPr>
          <w:spacing w:val="-4"/>
        </w:rPr>
        <w:t> </w:t>
      </w:r>
      <w:r>
        <w:rPr/>
        <w:t>responsibility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entirely</w:t>
      </w:r>
      <w:r>
        <w:rPr>
          <w:spacing w:val="-4"/>
        </w:rPr>
        <w:t> </w:t>
      </w:r>
      <w:r>
        <w:rPr/>
        <w:t>operator-side.</w:t>
      </w:r>
      <w:r>
        <w:rPr>
          <w:spacing w:val="-4"/>
        </w:rPr>
        <w:t> </w:t>
      </w:r>
      <w:r>
        <w:rPr/>
        <w:t>Subscribing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OpenStack</w:t>
      </w:r>
      <w:r>
        <w:rPr>
          <w:spacing w:val="-4"/>
        </w:rPr>
        <w:t> </w:t>
      </w:r>
      <w:r>
        <w:rPr/>
        <w:t>Security Notes (OSSN) and the individual advisories for Ceph, RabbitMQ, MariaDB, and Docker is not an optional nicety, it is the only early-warning system that exists for this deployment. The advantage that comes with this openness is that defensive tooling and documentation are just as freely available as the source code itself: the exporters, security guides, and hardening benchmarks</w:t>
      </w:r>
      <w:r>
        <w:rPr>
          <w:spacing w:val="-4"/>
        </w:rPr>
        <w:t> </w:t>
      </w:r>
      <w:r>
        <w:rPr/>
        <w:t>referenced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openness</w:t>
      </w:r>
      <w:r>
        <w:rPr>
          <w:spacing w:val="-4"/>
        </w:rPr>
        <w:t> </w:t>
      </w:r>
      <w:r>
        <w:rPr/>
        <w:t>that creates the risk in the first place.</w:t>
      </w:r>
    </w:p>
    <w:p>
      <w:pPr>
        <w:pStyle w:val="Heading3"/>
        <w:numPr>
          <w:ilvl w:val="1"/>
          <w:numId w:val="1"/>
        </w:numPr>
        <w:tabs>
          <w:tab w:pos="720" w:val="left" w:leader="none"/>
        </w:tabs>
        <w:spacing w:line="240" w:lineRule="auto" w:before="200" w:after="0"/>
        <w:ind w:left="720" w:right="0" w:hanging="360"/>
        <w:jc w:val="left"/>
      </w:pPr>
      <w:bookmarkStart w:name="1.2 Deployment Components in Scope " w:id="5"/>
      <w:bookmarkEnd w:id="5"/>
      <w:r>
        <w:rPr>
          <w:b w:val="0"/>
        </w:rPr>
      </w:r>
      <w:r>
        <w:rPr/>
        <w:t>Deployment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Scope</w:t>
      </w:r>
    </w:p>
    <w:p>
      <w:pPr>
        <w:pStyle w:val="BodyText"/>
        <w:spacing w:before="104"/>
      </w:pPr>
      <w:r>
        <w:rPr/>
        <w:t>Every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surface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addressed</w:t>
      </w:r>
      <w:r>
        <w:rPr>
          <w:spacing w:val="-4"/>
        </w:rPr>
        <w:t> </w:t>
      </w:r>
      <w:r>
        <w:rPr/>
        <w:t>explicitly</w:t>
      </w:r>
      <w:r>
        <w:rPr>
          <w:spacing w:val="-4"/>
        </w:rPr>
        <w:t> </w:t>
      </w:r>
      <w:r>
        <w:rPr/>
        <w:t>somewhere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 </w:t>
      </w:r>
      <w:r>
        <w:rPr>
          <w:spacing w:val="-2"/>
        </w:rPr>
        <w:t>document.</w:t>
      </w:r>
    </w:p>
    <w:p>
      <w:pPr>
        <w:pStyle w:val="BodyText"/>
        <w:spacing w:before="5"/>
        <w:ind w:left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7216"/>
      </w:tblGrid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Components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Containers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Identity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Keystone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Compute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Nova, nova-compute, nova-conductor, nova-</w:t>
            </w:r>
            <w:r>
              <w:rPr>
                <w:spacing w:val="-2"/>
                <w:sz w:val="20"/>
              </w:rPr>
              <w:t>scheduler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Networking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Neutron,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OVS/OVN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L3/DHCP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agents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Glance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Block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Cinder </w:t>
            </w:r>
            <w:r>
              <w:rPr>
                <w:spacing w:val="-2"/>
                <w:sz w:val="20"/>
              </w:rPr>
              <w:t>API/scheduler/volume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 (mon, osd, mgr, </w:t>
            </w:r>
            <w:r>
              <w:rPr>
                <w:spacing w:val="-4"/>
                <w:sz w:val="20"/>
              </w:rPr>
              <w:t>rgw)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Orchestration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Heat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Load </w:t>
            </w:r>
            <w:r>
              <w:rPr>
                <w:spacing w:val="-2"/>
                <w:sz w:val="20"/>
              </w:rPr>
              <w:t>Balancing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Octavia,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amphora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instances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Horizon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Containers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(tenant)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Zun, </w:t>
            </w:r>
            <w:r>
              <w:rPr>
                <w:spacing w:val="-2"/>
                <w:sz w:val="20"/>
              </w:rPr>
              <w:t>cAdvisor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MariaDB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Galera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cluster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900" w:bottom="1415" w:left="1080" w:right="1080"/>
        </w:sect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7216"/>
      </w:tblGrid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Components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Containers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Messaging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RabbitMQ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VIP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HAProxy, </w:t>
            </w:r>
            <w:r>
              <w:rPr>
                <w:spacing w:val="-2"/>
                <w:sz w:val="20"/>
              </w:rPr>
              <w:t>Keepalived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Secrets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Barbican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Monitoring /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Prometheus, Grafana, Alertmanager, Fluentd, </w:t>
            </w:r>
            <w:r>
              <w:rPr>
                <w:spacing w:val="-2"/>
                <w:sz w:val="20"/>
              </w:rPr>
              <w:t>OpenSearch</w:t>
            </w:r>
          </w:p>
        </w:tc>
      </w:tr>
      <w:tr>
        <w:trPr>
          <w:trHeight w:val="434" w:hRule="atLeast"/>
        </w:trPr>
        <w:tc>
          <w:tcPr>
            <w:tcW w:w="21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721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Engine,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Ubuntu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24.04 host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 </w:t>
            </w:r>
            <w:r>
              <w:rPr>
                <w:spacing w:val="-2"/>
                <w:sz w:val="20"/>
              </w:rPr>
              <w:t>nodes</w:t>
            </w:r>
          </w:p>
        </w:tc>
      </w:tr>
    </w:tbl>
    <w:p>
      <w:pPr>
        <w:pStyle w:val="BodyText"/>
        <w:spacing w:before="17"/>
        <w:ind w:right="428"/>
      </w:pPr>
      <w:r>
        <w:rPr/>
        <w:t>Note on scope: the monitoring/logging layer listed above (Prometheus, Grafana, Alertmanager, Fluentd, OpenSearch) is the infrastructure observability stack covered in the deployment's separate</w:t>
      </w:r>
      <w:r>
        <w:rPr>
          <w:spacing w:val="-4"/>
        </w:rPr>
        <w:t> </w:t>
      </w:r>
      <w:r>
        <w:rPr/>
        <w:t>monitoring</w:t>
      </w:r>
      <w:r>
        <w:rPr>
          <w:spacing w:val="-4"/>
        </w:rPr>
        <w:t> </w:t>
      </w:r>
      <w:r>
        <w:rPr/>
        <w:t>documentation.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detection,</w:t>
      </w:r>
      <w:r>
        <w:rPr>
          <w:spacing w:val="-4"/>
        </w:rPr>
        <w:t> </w:t>
      </w:r>
      <w:r>
        <w:rPr/>
        <w:t>covered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document, is a deliberately separate concern with its own dedicated tooling, the two are related but are not the same pipeline.</w:t>
      </w:r>
    </w:p>
    <w:p>
      <w:pPr>
        <w:pStyle w:val="Heading3"/>
        <w:numPr>
          <w:ilvl w:val="1"/>
          <w:numId w:val="1"/>
        </w:numPr>
        <w:tabs>
          <w:tab w:pos="720" w:val="left" w:leader="none"/>
        </w:tabs>
        <w:spacing w:line="240" w:lineRule="auto" w:before="200" w:after="0"/>
        <w:ind w:left="720" w:right="0" w:hanging="360"/>
        <w:jc w:val="left"/>
      </w:pPr>
      <w:bookmarkStart w:name="1.3 The Ten Security Areas " w:id="6"/>
      <w:bookmarkEnd w:id="6"/>
      <w:r>
        <w:rPr>
          <w:b w:val="0"/>
        </w:rPr>
      </w:r>
      <w:r>
        <w:rPr/>
        <w:t>The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>
          <w:spacing w:val="-2"/>
        </w:rPr>
        <w:t>Areas</w:t>
      </w:r>
    </w:p>
    <w:p>
      <w:pPr>
        <w:pStyle w:val="BodyText"/>
        <w:spacing w:before="104"/>
        <w:ind w:right="428"/>
      </w:pPr>
      <w:r>
        <w:rPr/>
        <w:t>Every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falls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ten</w:t>
      </w:r>
      <w:r>
        <w:rPr>
          <w:spacing w:val="-3"/>
        </w:rPr>
        <w:t> </w:t>
      </w:r>
      <w:r>
        <w:rPr/>
        <w:t>areas,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of the document is organized around.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"/>
        <w:gridCol w:w="2934"/>
        <w:gridCol w:w="6022"/>
      </w:tblGrid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Area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One-line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purpose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Identity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Controls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do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Network </w:t>
            </w:r>
            <w:r>
              <w:rPr>
                <w:spacing w:val="-2"/>
                <w:sz w:val="20"/>
              </w:rPr>
              <w:t>segmentation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Controls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> service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encryption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Protects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rest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Secrets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Protects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passwords,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keys,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tokens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hardening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Reduces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attacker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compromised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node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Patch / vulnerability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Closes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> exploitation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(Ceph)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Protects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layer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underneath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Cinder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Glance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Detection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Notices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intrusions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what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Policy / API </w:t>
            </w:r>
            <w:r>
              <w:rPr>
                <w:spacing w:val="-2"/>
                <w:sz w:val="20"/>
              </w:rPr>
              <w:t>hardening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Fine-grained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actions</w:t>
            </w:r>
          </w:p>
        </w:tc>
      </w:tr>
      <w:tr>
        <w:trPr>
          <w:trHeight w:val="434" w:hRule="atLeast"/>
        </w:trPr>
        <w:tc>
          <w:tcPr>
            <w:tcW w:w="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Backup / recovery </w:t>
            </w: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602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defense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> fails</w:t>
            </w:r>
          </w:p>
        </w:tc>
      </w:tr>
    </w:tbl>
    <w:sectPr>
      <w:type w:val="continuous"/>
      <w:pgSz w:w="12240" w:h="15840"/>
      <w:pgMar w:top="9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0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429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7"/>
      <w:ind w:left="429" w:hanging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720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2026-07-06T05:48:11Z</dcterms:created>
  <dcterms:modified xsi:type="dcterms:W3CDTF">2026-07-06T05:48:11Z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