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640" w:val="left" w:leader="none"/>
        </w:tabs>
        <w:spacing w:line="276" w:lineRule="auto" w:before="73" w:after="0"/>
        <w:ind w:left="360" w:right="429" w:firstLine="0"/>
        <w:jc w:val="left"/>
      </w:pPr>
      <w:bookmarkStart w:name="2. Governance: Frameworks, Standards, Th" w:id="1"/>
      <w:bookmarkEnd w:id="1"/>
      <w:r>
        <w:rPr>
          <w:b w:val="0"/>
        </w:rPr>
      </w:r>
      <w:r>
        <w:rPr/>
        <w:t>Governance:</w:t>
      </w:r>
      <w:r>
        <w:rPr>
          <w:spacing w:val="-8"/>
        </w:rPr>
        <w:t> </w:t>
      </w:r>
      <w:r>
        <w:rPr/>
        <w:t>Frameworks,</w:t>
      </w:r>
      <w:r>
        <w:rPr>
          <w:spacing w:val="-8"/>
        </w:rPr>
        <w:t> </w:t>
      </w:r>
      <w:r>
        <w:rPr/>
        <w:t>Standards,</w:t>
      </w:r>
      <w:r>
        <w:rPr>
          <w:spacing w:val="-8"/>
        </w:rPr>
        <w:t> </w:t>
      </w:r>
      <w:r>
        <w:rPr/>
        <w:t>Thumb</w:t>
      </w:r>
      <w:r>
        <w:rPr>
          <w:spacing w:val="-8"/>
        </w:rPr>
        <w:t> </w:t>
      </w:r>
      <w:r>
        <w:rPr/>
        <w:t>Rules,</w:t>
      </w:r>
      <w:r>
        <w:rPr>
          <w:spacing w:val="-8"/>
        </w:rPr>
        <w:t> </w:t>
      </w:r>
      <w:r>
        <w:rPr/>
        <w:t>Methodologies,</w:t>
      </w:r>
      <w:r>
        <w:rPr>
          <w:spacing w:val="-8"/>
        </w:rPr>
        <w:t> </w:t>
      </w:r>
      <w:r>
        <w:rPr/>
        <w:t>NIST, </w:t>
      </w:r>
      <w:r>
        <w:rPr>
          <w:spacing w:val="-4"/>
        </w:rPr>
        <w:t>ISO</w:t>
      </w:r>
    </w:p>
    <w:p>
      <w:pPr>
        <w:pStyle w:val="BodyText"/>
        <w:spacing w:before="79"/>
        <w:ind w:right="424"/>
      </w:pPr>
      <w:r>
        <w:rPr/>
        <w:t>Rather than inventing a security approach from nothing, this deployment's controls are mapped onto established, external frameworks and standards. This section walks through what each governance</w:t>
      </w:r>
      <w:r>
        <w:rPr>
          <w:spacing w:val="-3"/>
        </w:rPr>
        <w:t> </w:t>
      </w:r>
      <w:r>
        <w:rPr/>
        <w:t>concept</w:t>
      </w:r>
      <w:r>
        <w:rPr>
          <w:spacing w:val="-3"/>
        </w:rPr>
        <w:t> </w:t>
      </w:r>
      <w:r>
        <w:rPr/>
        <w:t>actually</w:t>
      </w:r>
      <w:r>
        <w:rPr>
          <w:spacing w:val="-3"/>
        </w:rPr>
        <w:t> </w:t>
      </w:r>
      <w:r>
        <w:rPr/>
        <w:t>is,</w:t>
      </w:r>
      <w:r>
        <w:rPr>
          <w:spacing w:val="-3"/>
        </w:rPr>
        <w:t> </w:t>
      </w:r>
      <w:r>
        <w:rPr/>
        <w:t>why</w:t>
      </w:r>
      <w:r>
        <w:rPr>
          <w:spacing w:val="-3"/>
        </w:rPr>
        <w:t> </w:t>
      </w:r>
      <w:r>
        <w:rPr/>
        <w:t>it</w:t>
      </w:r>
      <w:r>
        <w:rPr>
          <w:spacing w:val="-3"/>
        </w:rPr>
        <w:t> </w:t>
      </w:r>
      <w:r>
        <w:rPr/>
        <w:t>earns</w:t>
      </w:r>
      <w:r>
        <w:rPr>
          <w:spacing w:val="-3"/>
        </w:rPr>
        <w:t> </w:t>
      </w:r>
      <w:r>
        <w:rPr/>
        <w:t>a</w:t>
      </w:r>
      <w:r>
        <w:rPr>
          <w:spacing w:val="-3"/>
        </w:rPr>
        <w:t> </w:t>
      </w:r>
      <w:r>
        <w:rPr/>
        <w:t>place</w:t>
      </w:r>
      <w:r>
        <w:rPr>
          <w:spacing w:val="-3"/>
        </w:rPr>
        <w:t> </w:t>
      </w:r>
      <w:r>
        <w:rPr/>
        <w:t>in</w:t>
      </w:r>
      <w:r>
        <w:rPr>
          <w:spacing w:val="-3"/>
        </w:rPr>
        <w:t> </w:t>
      </w:r>
      <w:r>
        <w:rPr/>
        <w:t>this</w:t>
      </w:r>
      <w:r>
        <w:rPr>
          <w:spacing w:val="-3"/>
        </w:rPr>
        <w:t> </w:t>
      </w:r>
      <w:r>
        <w:rPr/>
        <w:t>document,</w:t>
      </w:r>
      <w:r>
        <w:rPr>
          <w:spacing w:val="-3"/>
        </w:rPr>
        <w:t> </w:t>
      </w:r>
      <w:r>
        <w:rPr/>
        <w:t>and</w:t>
      </w:r>
      <w:r>
        <w:rPr>
          <w:spacing w:val="-3"/>
        </w:rPr>
        <w:t> </w:t>
      </w:r>
      <w:r>
        <w:rPr/>
        <w:t>exactly</w:t>
      </w:r>
      <w:r>
        <w:rPr>
          <w:spacing w:val="-3"/>
        </w:rPr>
        <w:t> </w:t>
      </w:r>
      <w:r>
        <w:rPr/>
        <w:t>how</w:t>
      </w:r>
      <w:r>
        <w:rPr>
          <w:spacing w:val="-3"/>
        </w:rPr>
        <w:t> </w:t>
      </w:r>
      <w:r>
        <w:rPr/>
        <w:t>it</w:t>
      </w:r>
      <w:r>
        <w:rPr>
          <w:spacing w:val="-3"/>
        </w:rPr>
        <w:t> </w:t>
      </w:r>
      <w:r>
        <w:rPr/>
        <w:t>applies to this OpenStack deployment specifically, the real documents and reasoning behind every technical control in Sections 3 to 12.</w:t>
      </w:r>
    </w:p>
    <w:p>
      <w:pPr>
        <w:pStyle w:val="Heading2"/>
        <w:numPr>
          <w:ilvl w:val="1"/>
          <w:numId w:val="1"/>
        </w:numPr>
        <w:tabs>
          <w:tab w:pos="720" w:val="left" w:leader="none"/>
        </w:tabs>
        <w:spacing w:line="240" w:lineRule="auto" w:before="200" w:after="0"/>
        <w:ind w:left="720" w:right="0" w:hanging="360"/>
        <w:jc w:val="left"/>
      </w:pPr>
      <w:bookmarkStart w:name="2.1 Frameworks " w:id="2"/>
      <w:bookmarkEnd w:id="2"/>
      <w:r>
        <w:rPr>
          <w:b w:val="0"/>
        </w:rPr>
      </w:r>
      <w:r>
        <w:rPr>
          <w:spacing w:val="-2"/>
        </w:rPr>
        <w:t>Frameworks</w:t>
      </w:r>
    </w:p>
    <w:p>
      <w:pPr>
        <w:pStyle w:val="BodyText"/>
        <w:spacing w:before="104"/>
        <w:ind w:right="355"/>
      </w:pPr>
      <w:r>
        <w:rPr/>
        <w:t>A framework is a ready-made structure, built and refined by people outside this deployment, that lays out what categories of things need to be secured so that a security plan is never built from a completely</w:t>
      </w:r>
      <w:r>
        <w:rPr>
          <w:spacing w:val="-3"/>
        </w:rPr>
        <w:t> </w:t>
      </w:r>
      <w:r>
        <w:rPr/>
        <w:t>blank</w:t>
      </w:r>
      <w:r>
        <w:rPr>
          <w:spacing w:val="-3"/>
        </w:rPr>
        <w:t> </w:t>
      </w:r>
      <w:r>
        <w:rPr/>
        <w:t>page.</w:t>
      </w:r>
      <w:r>
        <w:rPr>
          <w:spacing w:val="-3"/>
        </w:rPr>
        <w:t> </w:t>
      </w:r>
      <w:r>
        <w:rPr/>
        <w:t>Without</w:t>
      </w:r>
      <w:r>
        <w:rPr>
          <w:spacing w:val="-3"/>
        </w:rPr>
        <w:t> </w:t>
      </w:r>
      <w:r>
        <w:rPr/>
        <w:t>one,</w:t>
      </w:r>
      <w:r>
        <w:rPr>
          <w:spacing w:val="-3"/>
        </w:rPr>
        <w:t> </w:t>
      </w:r>
      <w:r>
        <w:rPr/>
        <w:t>it</w:t>
      </w:r>
      <w:r>
        <w:rPr>
          <w:spacing w:val="-3"/>
        </w:rPr>
        <w:t> </w:t>
      </w:r>
      <w:r>
        <w:rPr/>
        <w:t>is</w:t>
      </w:r>
      <w:r>
        <w:rPr>
          <w:spacing w:val="-3"/>
        </w:rPr>
        <w:t> </w:t>
      </w:r>
      <w:r>
        <w:rPr/>
        <w:t>easy</w:t>
      </w:r>
      <w:r>
        <w:rPr>
          <w:spacing w:val="-3"/>
        </w:rPr>
        <w:t> </w:t>
      </w:r>
      <w:r>
        <w:rPr/>
        <w:t>to</w:t>
      </w:r>
      <w:r>
        <w:rPr>
          <w:spacing w:val="-3"/>
        </w:rPr>
        <w:t> </w:t>
      </w:r>
      <w:r>
        <w:rPr/>
        <w:t>secure</w:t>
      </w:r>
      <w:r>
        <w:rPr>
          <w:spacing w:val="-3"/>
        </w:rPr>
        <w:t> </w:t>
      </w:r>
      <w:r>
        <w:rPr/>
        <w:t>whatever</w:t>
      </w:r>
      <w:r>
        <w:rPr>
          <w:spacing w:val="-3"/>
        </w:rPr>
        <w:t> </w:t>
      </w:r>
      <w:r>
        <w:rPr/>
        <w:t>comes</w:t>
      </w:r>
      <w:r>
        <w:rPr>
          <w:spacing w:val="-3"/>
        </w:rPr>
        <w:t> </w:t>
      </w:r>
      <w:r>
        <w:rPr/>
        <w:t>to</w:t>
      </w:r>
      <w:r>
        <w:rPr>
          <w:spacing w:val="-3"/>
        </w:rPr>
        <w:t> </w:t>
      </w:r>
      <w:r>
        <w:rPr/>
        <w:t>mind</w:t>
      </w:r>
      <w:r>
        <w:rPr>
          <w:spacing w:val="-3"/>
        </w:rPr>
        <w:t> </w:t>
      </w:r>
      <w:r>
        <w:rPr/>
        <w:t>first</w:t>
      </w:r>
      <w:r>
        <w:rPr>
          <w:spacing w:val="-3"/>
        </w:rPr>
        <w:t> </w:t>
      </w:r>
      <w:r>
        <w:rPr/>
        <w:t>and</w:t>
      </w:r>
      <w:r>
        <w:rPr>
          <w:spacing w:val="-3"/>
        </w:rPr>
        <w:t> </w:t>
      </w:r>
      <w:r>
        <w:rPr/>
        <w:t>quietly miss entire categories that were never even considered, a framework's real value is guaranteeing coverage, not prescribing exact settings.</w:t>
      </w:r>
    </w:p>
    <w:p>
      <w:pPr>
        <w:pStyle w:val="BodyText"/>
        <w:ind w:right="424"/>
      </w:pPr>
      <w:r>
        <w:rPr/>
        <w:t>Three</w:t>
      </w:r>
      <w:r>
        <w:rPr>
          <w:spacing w:val="-4"/>
        </w:rPr>
        <w:t> </w:t>
      </w:r>
      <w:r>
        <w:rPr/>
        <w:t>frameworks</w:t>
      </w:r>
      <w:r>
        <w:rPr>
          <w:spacing w:val="-4"/>
        </w:rPr>
        <w:t> </w:t>
      </w:r>
      <w:r>
        <w:rPr/>
        <w:t>do</w:t>
      </w:r>
      <w:r>
        <w:rPr>
          <w:spacing w:val="-4"/>
        </w:rPr>
        <w:t> </w:t>
      </w:r>
      <w:r>
        <w:rPr/>
        <w:t>that</w:t>
      </w:r>
      <w:r>
        <w:rPr>
          <w:spacing w:val="-4"/>
        </w:rPr>
        <w:t> </w:t>
      </w:r>
      <w:r>
        <w:rPr/>
        <w:t>job</w:t>
      </w:r>
      <w:r>
        <w:rPr>
          <w:spacing w:val="-4"/>
        </w:rPr>
        <w:t> </w:t>
      </w:r>
      <w:r>
        <w:rPr/>
        <w:t>here,</w:t>
      </w:r>
      <w:r>
        <w:rPr>
          <w:spacing w:val="-4"/>
        </w:rPr>
        <w:t> </w:t>
      </w:r>
      <w:r>
        <w:rPr/>
        <w:t>each</w:t>
      </w:r>
      <w:r>
        <w:rPr>
          <w:spacing w:val="-4"/>
        </w:rPr>
        <w:t> </w:t>
      </w:r>
      <w:r>
        <w:rPr/>
        <w:t>at</w:t>
      </w:r>
      <w:r>
        <w:rPr>
          <w:spacing w:val="-4"/>
        </w:rPr>
        <w:t> </w:t>
      </w:r>
      <w:r>
        <w:rPr/>
        <w:t>a</w:t>
      </w:r>
      <w:r>
        <w:rPr>
          <w:spacing w:val="-4"/>
        </w:rPr>
        <w:t> </w:t>
      </w:r>
      <w:r>
        <w:rPr/>
        <w:t>different</w:t>
      </w:r>
      <w:r>
        <w:rPr>
          <w:spacing w:val="-4"/>
        </w:rPr>
        <w:t> </w:t>
      </w:r>
      <w:r>
        <w:rPr/>
        <w:t>altitude.</w:t>
      </w:r>
      <w:r>
        <w:rPr>
          <w:spacing w:val="-4"/>
        </w:rPr>
        <w:t> </w:t>
      </w:r>
      <w:r>
        <w:rPr/>
        <w:t>NIST</w:t>
      </w:r>
      <w:r>
        <w:rPr>
          <w:spacing w:val="-4"/>
        </w:rPr>
        <w:t> </w:t>
      </w:r>
      <w:r>
        <w:rPr/>
        <w:t>CSF</w:t>
      </w:r>
      <w:r>
        <w:rPr>
          <w:spacing w:val="-4"/>
        </w:rPr>
        <w:t> </w:t>
      </w:r>
      <w:r>
        <w:rPr/>
        <w:t>supplies</w:t>
      </w:r>
      <w:r>
        <w:rPr>
          <w:spacing w:val="-4"/>
        </w:rPr>
        <w:t> </w:t>
      </w:r>
      <w:r>
        <w:rPr/>
        <w:t>the</w:t>
      </w:r>
      <w:r>
        <w:rPr>
          <w:spacing w:val="-4"/>
        </w:rPr>
        <w:t> </w:t>
      </w:r>
      <w:r>
        <w:rPr/>
        <w:t>five-stage skeleton, Identify, Protect, Detect, Respond, Recover, that this entire document is built around. The OpenStack Security Guide supplies advice that already understands Keystone, Nova, and Neutron, rather than generic IT guidance that would need translating into OpenStack terms. CIS Benchmarks go a level deeper still, supplying checklist-level hardening steps for the Ubuntu hosts and Docker containers specifically, at a level of granularity neither of the other two frameworks reach.</w:t>
      </w:r>
    </w:p>
    <w:p>
      <w:pPr>
        <w:pStyle w:val="BodyText"/>
        <w:spacing w:before="4"/>
        <w:ind w:left="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70"/>
        <w:gridCol w:w="3448"/>
        <w:gridCol w:w="3436"/>
      </w:tblGrid>
      <w:tr>
        <w:trPr>
          <w:trHeight w:val="434" w:hRule="atLeast"/>
        </w:trPr>
        <w:tc>
          <w:tcPr>
            <w:tcW w:w="2470" w:type="dxa"/>
          </w:tcPr>
          <w:p>
            <w:pPr>
              <w:pStyle w:val="TableParagraph"/>
              <w:rPr>
                <w:b/>
                <w:sz w:val="20"/>
              </w:rPr>
            </w:pPr>
            <w:r>
              <w:rPr>
                <w:b/>
                <w:spacing w:val="-2"/>
                <w:sz w:val="20"/>
              </w:rPr>
              <w:t>Framework</w:t>
            </w:r>
          </w:p>
        </w:tc>
        <w:tc>
          <w:tcPr>
            <w:tcW w:w="3448" w:type="dxa"/>
          </w:tcPr>
          <w:p>
            <w:pPr>
              <w:pStyle w:val="TableParagraph"/>
              <w:rPr>
                <w:b/>
                <w:sz w:val="20"/>
              </w:rPr>
            </w:pPr>
            <w:r>
              <w:rPr>
                <w:b/>
                <w:sz w:val="20"/>
              </w:rPr>
              <w:t>What it </w:t>
            </w:r>
            <w:r>
              <w:rPr>
                <w:b/>
                <w:spacing w:val="-2"/>
                <w:sz w:val="20"/>
              </w:rPr>
              <w:t>provides</w:t>
            </w:r>
          </w:p>
        </w:tc>
        <w:tc>
          <w:tcPr>
            <w:tcW w:w="3436" w:type="dxa"/>
          </w:tcPr>
          <w:p>
            <w:pPr>
              <w:pStyle w:val="TableParagraph"/>
              <w:rPr>
                <w:b/>
                <w:sz w:val="20"/>
              </w:rPr>
            </w:pPr>
            <w:r>
              <w:rPr>
                <w:b/>
                <w:sz w:val="20"/>
              </w:rPr>
              <w:t>Applied</w:t>
            </w:r>
            <w:r>
              <w:rPr>
                <w:b/>
                <w:spacing w:val="-6"/>
                <w:sz w:val="20"/>
              </w:rPr>
              <w:t> </w:t>
            </w:r>
            <w:r>
              <w:rPr>
                <w:b/>
                <w:spacing w:val="-5"/>
                <w:sz w:val="20"/>
              </w:rPr>
              <w:t>to</w:t>
            </w:r>
          </w:p>
        </w:tc>
      </w:tr>
      <w:tr>
        <w:trPr>
          <w:trHeight w:val="710" w:hRule="atLeast"/>
        </w:trPr>
        <w:tc>
          <w:tcPr>
            <w:tcW w:w="2470" w:type="dxa"/>
          </w:tcPr>
          <w:p>
            <w:pPr>
              <w:pStyle w:val="TableParagraph"/>
              <w:spacing w:line="288" w:lineRule="auto"/>
              <w:ind w:right="729"/>
              <w:rPr>
                <w:sz w:val="20"/>
              </w:rPr>
            </w:pPr>
            <w:r>
              <w:rPr>
                <w:sz w:val="20"/>
              </w:rPr>
              <w:t>NIST</w:t>
            </w:r>
            <w:r>
              <w:rPr>
                <w:spacing w:val="-13"/>
                <w:sz w:val="20"/>
              </w:rPr>
              <w:t> </w:t>
            </w:r>
            <w:r>
              <w:rPr>
                <w:sz w:val="20"/>
              </w:rPr>
              <w:t>Cybersecurity Framework (CSF)</w:t>
            </w:r>
          </w:p>
        </w:tc>
        <w:tc>
          <w:tcPr>
            <w:tcW w:w="3448" w:type="dxa"/>
          </w:tcPr>
          <w:p>
            <w:pPr>
              <w:pStyle w:val="TableParagraph"/>
              <w:spacing w:line="288" w:lineRule="auto"/>
              <w:rPr>
                <w:sz w:val="20"/>
              </w:rPr>
            </w:pPr>
            <w:r>
              <w:rPr>
                <w:sz w:val="20"/>
              </w:rPr>
              <w:t>Identify</w:t>
            </w:r>
            <w:r>
              <w:rPr>
                <w:spacing w:val="-6"/>
                <w:sz w:val="20"/>
              </w:rPr>
              <w:t> </w:t>
            </w:r>
            <w:r>
              <w:rPr>
                <w:sz w:val="20"/>
              </w:rPr>
              <w:t>/</w:t>
            </w:r>
            <w:r>
              <w:rPr>
                <w:spacing w:val="-6"/>
                <w:sz w:val="20"/>
              </w:rPr>
              <w:t> </w:t>
            </w:r>
            <w:r>
              <w:rPr>
                <w:sz w:val="20"/>
              </w:rPr>
              <w:t>Protect</w:t>
            </w:r>
            <w:r>
              <w:rPr>
                <w:spacing w:val="-6"/>
                <w:sz w:val="20"/>
              </w:rPr>
              <w:t> </w:t>
            </w:r>
            <w:r>
              <w:rPr>
                <w:sz w:val="20"/>
              </w:rPr>
              <w:t>/</w:t>
            </w:r>
            <w:r>
              <w:rPr>
                <w:spacing w:val="-6"/>
                <w:sz w:val="20"/>
              </w:rPr>
              <w:t> </w:t>
            </w:r>
            <w:r>
              <w:rPr>
                <w:sz w:val="20"/>
              </w:rPr>
              <w:t>Detect</w:t>
            </w:r>
            <w:r>
              <w:rPr>
                <w:spacing w:val="-6"/>
                <w:sz w:val="20"/>
              </w:rPr>
              <w:t> </w:t>
            </w:r>
            <w:r>
              <w:rPr>
                <w:sz w:val="20"/>
              </w:rPr>
              <w:t>/</w:t>
            </w:r>
            <w:r>
              <w:rPr>
                <w:spacing w:val="-6"/>
                <w:sz w:val="20"/>
              </w:rPr>
              <w:t> </w:t>
            </w:r>
            <w:r>
              <w:rPr>
                <w:sz w:val="20"/>
              </w:rPr>
              <w:t>Respond</w:t>
            </w:r>
            <w:r>
              <w:rPr>
                <w:spacing w:val="-6"/>
                <w:sz w:val="20"/>
              </w:rPr>
              <w:t> </w:t>
            </w:r>
            <w:r>
              <w:rPr>
                <w:sz w:val="20"/>
              </w:rPr>
              <w:t>/ Recover structure</w:t>
            </w:r>
          </w:p>
        </w:tc>
        <w:tc>
          <w:tcPr>
            <w:tcW w:w="3436" w:type="dxa"/>
          </w:tcPr>
          <w:p>
            <w:pPr>
              <w:pStyle w:val="TableParagraph"/>
              <w:spacing w:line="288" w:lineRule="auto"/>
              <w:rPr>
                <w:sz w:val="20"/>
              </w:rPr>
            </w:pPr>
            <w:r>
              <w:rPr>
                <w:sz w:val="20"/>
              </w:rPr>
              <w:t>The</w:t>
            </w:r>
            <w:r>
              <w:rPr>
                <w:spacing w:val="-9"/>
                <w:sz w:val="20"/>
              </w:rPr>
              <w:t> </w:t>
            </w:r>
            <w:r>
              <w:rPr>
                <w:sz w:val="20"/>
              </w:rPr>
              <w:t>overall</w:t>
            </w:r>
            <w:r>
              <w:rPr>
                <w:spacing w:val="-9"/>
                <w:sz w:val="20"/>
              </w:rPr>
              <w:t> </w:t>
            </w:r>
            <w:r>
              <w:rPr>
                <w:sz w:val="20"/>
              </w:rPr>
              <w:t>structure</w:t>
            </w:r>
            <w:r>
              <w:rPr>
                <w:spacing w:val="-9"/>
                <w:sz w:val="20"/>
              </w:rPr>
              <w:t> </w:t>
            </w:r>
            <w:r>
              <w:rPr>
                <w:sz w:val="20"/>
              </w:rPr>
              <w:t>of</w:t>
            </w:r>
            <w:r>
              <w:rPr>
                <w:spacing w:val="-9"/>
                <w:sz w:val="20"/>
              </w:rPr>
              <w:t> </w:t>
            </w:r>
            <w:r>
              <w:rPr>
                <w:sz w:val="20"/>
              </w:rPr>
              <w:t>this</w:t>
            </w:r>
            <w:r>
              <w:rPr>
                <w:spacing w:val="-9"/>
                <w:sz w:val="20"/>
              </w:rPr>
              <w:t> </w:t>
            </w:r>
            <w:r>
              <w:rPr>
                <w:sz w:val="20"/>
              </w:rPr>
              <w:t>entire </w:t>
            </w:r>
            <w:r>
              <w:rPr>
                <w:spacing w:val="-2"/>
                <w:sz w:val="20"/>
              </w:rPr>
              <w:t>document</w:t>
            </w:r>
          </w:p>
        </w:tc>
      </w:tr>
      <w:tr>
        <w:trPr>
          <w:trHeight w:val="710" w:hRule="atLeast"/>
        </w:trPr>
        <w:tc>
          <w:tcPr>
            <w:tcW w:w="2470" w:type="dxa"/>
          </w:tcPr>
          <w:p>
            <w:pPr>
              <w:pStyle w:val="TableParagraph"/>
              <w:rPr>
                <w:sz w:val="20"/>
              </w:rPr>
            </w:pPr>
            <w:r>
              <w:rPr>
                <w:sz w:val="20"/>
              </w:rPr>
              <w:t>OpenStack Security </w:t>
            </w:r>
            <w:r>
              <w:rPr>
                <w:spacing w:val="-2"/>
                <w:sz w:val="20"/>
              </w:rPr>
              <w:t>Guide</w:t>
            </w:r>
          </w:p>
        </w:tc>
        <w:tc>
          <w:tcPr>
            <w:tcW w:w="3448" w:type="dxa"/>
          </w:tcPr>
          <w:p>
            <w:pPr>
              <w:pStyle w:val="TableParagraph"/>
              <w:spacing w:line="288" w:lineRule="auto"/>
              <w:rPr>
                <w:sz w:val="20"/>
              </w:rPr>
            </w:pPr>
            <w:r>
              <w:rPr>
                <w:sz w:val="20"/>
              </w:rPr>
              <w:t>Official,</w:t>
            </w:r>
            <w:r>
              <w:rPr>
                <w:spacing w:val="-13"/>
                <w:sz w:val="20"/>
              </w:rPr>
              <w:t> </w:t>
            </w:r>
            <w:r>
              <w:rPr>
                <w:sz w:val="20"/>
              </w:rPr>
              <w:t>OpenStack-specific</w:t>
            </w:r>
            <w:r>
              <w:rPr>
                <w:spacing w:val="-12"/>
                <w:sz w:val="20"/>
              </w:rPr>
              <w:t> </w:t>
            </w:r>
            <w:r>
              <w:rPr>
                <w:sz w:val="20"/>
              </w:rPr>
              <w:t>security </w:t>
            </w:r>
            <w:r>
              <w:rPr>
                <w:spacing w:val="-2"/>
                <w:sz w:val="20"/>
              </w:rPr>
              <w:t>practice</w:t>
            </w:r>
          </w:p>
        </w:tc>
        <w:tc>
          <w:tcPr>
            <w:tcW w:w="3436" w:type="dxa"/>
          </w:tcPr>
          <w:p>
            <w:pPr>
              <w:pStyle w:val="TableParagraph"/>
              <w:spacing w:line="288" w:lineRule="auto"/>
              <w:rPr>
                <w:sz w:val="20"/>
              </w:rPr>
            </w:pPr>
            <w:r>
              <w:rPr>
                <w:sz w:val="20"/>
              </w:rPr>
              <w:t>Every</w:t>
            </w:r>
            <w:r>
              <w:rPr>
                <w:spacing w:val="-13"/>
                <w:sz w:val="20"/>
              </w:rPr>
              <w:t> </w:t>
            </w:r>
            <w:r>
              <w:rPr>
                <w:sz w:val="20"/>
              </w:rPr>
              <w:t>OpenStack-specific</w:t>
            </w:r>
            <w:r>
              <w:rPr>
                <w:spacing w:val="-12"/>
                <w:sz w:val="20"/>
              </w:rPr>
              <w:t> </w:t>
            </w:r>
            <w:r>
              <w:rPr>
                <w:sz w:val="20"/>
              </w:rPr>
              <w:t>technical control in Sections 3 to 12</w:t>
            </w:r>
          </w:p>
        </w:tc>
      </w:tr>
      <w:tr>
        <w:trPr>
          <w:trHeight w:val="710" w:hRule="atLeast"/>
        </w:trPr>
        <w:tc>
          <w:tcPr>
            <w:tcW w:w="2470" w:type="dxa"/>
          </w:tcPr>
          <w:p>
            <w:pPr>
              <w:pStyle w:val="TableParagraph"/>
              <w:rPr>
                <w:sz w:val="20"/>
              </w:rPr>
            </w:pPr>
            <w:r>
              <w:rPr>
                <w:sz w:val="20"/>
              </w:rPr>
              <w:t>CIS</w:t>
            </w:r>
            <w:r>
              <w:rPr>
                <w:spacing w:val="-2"/>
                <w:sz w:val="20"/>
              </w:rPr>
              <w:t> Benchmarks</w:t>
            </w:r>
          </w:p>
        </w:tc>
        <w:tc>
          <w:tcPr>
            <w:tcW w:w="3448" w:type="dxa"/>
          </w:tcPr>
          <w:p>
            <w:pPr>
              <w:pStyle w:val="TableParagraph"/>
              <w:spacing w:line="288" w:lineRule="auto"/>
              <w:rPr>
                <w:sz w:val="20"/>
              </w:rPr>
            </w:pPr>
            <w:r>
              <w:rPr>
                <w:sz w:val="20"/>
              </w:rPr>
              <w:t>Checklist-style</w:t>
            </w:r>
            <w:r>
              <w:rPr>
                <w:spacing w:val="-13"/>
                <w:sz w:val="20"/>
              </w:rPr>
              <w:t> </w:t>
            </w:r>
            <w:r>
              <w:rPr>
                <w:sz w:val="20"/>
              </w:rPr>
              <w:t>Linux</w:t>
            </w:r>
            <w:r>
              <w:rPr>
                <w:spacing w:val="-12"/>
                <w:sz w:val="20"/>
              </w:rPr>
              <w:t> </w:t>
            </w:r>
            <w:r>
              <w:rPr>
                <w:sz w:val="20"/>
              </w:rPr>
              <w:t>and</w:t>
            </w:r>
            <w:r>
              <w:rPr>
                <w:spacing w:val="-13"/>
                <w:sz w:val="20"/>
              </w:rPr>
              <w:t> </w:t>
            </w:r>
            <w:r>
              <w:rPr>
                <w:sz w:val="20"/>
              </w:rPr>
              <w:t>Docker </w:t>
            </w:r>
            <w:r>
              <w:rPr>
                <w:spacing w:val="-2"/>
                <w:sz w:val="20"/>
              </w:rPr>
              <w:t>hardening</w:t>
            </w:r>
          </w:p>
        </w:tc>
        <w:tc>
          <w:tcPr>
            <w:tcW w:w="3436" w:type="dxa"/>
          </w:tcPr>
          <w:p>
            <w:pPr>
              <w:pStyle w:val="TableParagraph"/>
              <w:spacing w:line="288" w:lineRule="auto"/>
              <w:rPr>
                <w:sz w:val="20"/>
              </w:rPr>
            </w:pPr>
            <w:r>
              <w:rPr>
                <w:sz w:val="20"/>
              </w:rPr>
              <w:t>Section</w:t>
            </w:r>
            <w:r>
              <w:rPr>
                <w:spacing w:val="-8"/>
                <w:sz w:val="20"/>
              </w:rPr>
              <w:t> </w:t>
            </w:r>
            <w:r>
              <w:rPr>
                <w:sz w:val="20"/>
              </w:rPr>
              <w:t>7,</w:t>
            </w:r>
            <w:r>
              <w:rPr>
                <w:spacing w:val="-8"/>
                <w:sz w:val="20"/>
              </w:rPr>
              <w:t> </w:t>
            </w:r>
            <w:r>
              <w:rPr>
                <w:sz w:val="20"/>
              </w:rPr>
              <w:t>host</w:t>
            </w:r>
            <w:r>
              <w:rPr>
                <w:spacing w:val="-8"/>
                <w:sz w:val="20"/>
              </w:rPr>
              <w:t> </w:t>
            </w:r>
            <w:r>
              <w:rPr>
                <w:sz w:val="20"/>
              </w:rPr>
              <w:t>and</w:t>
            </w:r>
            <w:r>
              <w:rPr>
                <w:spacing w:val="-8"/>
                <w:sz w:val="20"/>
              </w:rPr>
              <w:t> </w:t>
            </w:r>
            <w:r>
              <w:rPr>
                <w:sz w:val="20"/>
              </w:rPr>
              <w:t>container</w:t>
            </w:r>
            <w:r>
              <w:rPr>
                <w:spacing w:val="-8"/>
                <w:sz w:val="20"/>
              </w:rPr>
              <w:t> </w:t>
            </w:r>
            <w:r>
              <w:rPr>
                <w:sz w:val="20"/>
              </w:rPr>
              <w:t>hardening, scored via Lynis</w:t>
            </w:r>
          </w:p>
        </w:tc>
      </w:tr>
    </w:tbl>
    <w:p>
      <w:pPr>
        <w:pStyle w:val="Heading2"/>
        <w:numPr>
          <w:ilvl w:val="1"/>
          <w:numId w:val="1"/>
        </w:numPr>
        <w:tabs>
          <w:tab w:pos="720" w:val="left" w:leader="none"/>
        </w:tabs>
        <w:spacing w:line="240" w:lineRule="auto" w:before="122" w:after="0"/>
        <w:ind w:left="720" w:right="0" w:hanging="360"/>
        <w:jc w:val="left"/>
      </w:pPr>
      <w:bookmarkStart w:name="2.2 Standards " w:id="3"/>
      <w:bookmarkEnd w:id="3"/>
      <w:r>
        <w:rPr>
          <w:b w:val="0"/>
        </w:rPr>
      </w:r>
      <w:r>
        <w:rPr>
          <w:spacing w:val="-2"/>
        </w:rPr>
        <w:t>Standards</w:t>
      </w:r>
    </w:p>
    <w:p>
      <w:pPr>
        <w:pStyle w:val="BodyText"/>
        <w:spacing w:before="103"/>
        <w:ind w:right="416"/>
      </w:pPr>
      <w:r>
        <w:rPr/>
        <w:t>A standard is a formal, usually externally published, rulebook that defines precisely what "secure" means for a given area, precise enough that compliance against it can actually be checked</w:t>
      </w:r>
      <w:r>
        <w:rPr>
          <w:spacing w:val="-4"/>
        </w:rPr>
        <w:t> </w:t>
      </w:r>
      <w:r>
        <w:rPr/>
        <w:t>and</w:t>
      </w:r>
      <w:r>
        <w:rPr>
          <w:spacing w:val="-4"/>
        </w:rPr>
        <w:t> </w:t>
      </w:r>
      <w:r>
        <w:rPr/>
        <w:t>certified,</w:t>
      </w:r>
      <w:r>
        <w:rPr>
          <w:spacing w:val="-4"/>
        </w:rPr>
        <w:t> </w:t>
      </w:r>
      <w:r>
        <w:rPr/>
        <w:t>not</w:t>
      </w:r>
      <w:r>
        <w:rPr>
          <w:spacing w:val="-4"/>
        </w:rPr>
        <w:t> </w:t>
      </w:r>
      <w:r>
        <w:rPr/>
        <w:t>just</w:t>
      </w:r>
      <w:r>
        <w:rPr>
          <w:spacing w:val="-4"/>
        </w:rPr>
        <w:t> </w:t>
      </w:r>
      <w:r>
        <w:rPr/>
        <w:t>asserted.</w:t>
      </w:r>
      <w:r>
        <w:rPr>
          <w:spacing w:val="-4"/>
        </w:rPr>
        <w:t> </w:t>
      </w:r>
      <w:r>
        <w:rPr/>
        <w:t>Where</w:t>
      </w:r>
      <w:r>
        <w:rPr>
          <w:spacing w:val="-4"/>
        </w:rPr>
        <w:t> </w:t>
      </w:r>
      <w:r>
        <w:rPr/>
        <w:t>a</w:t>
      </w:r>
      <w:r>
        <w:rPr>
          <w:spacing w:val="-4"/>
        </w:rPr>
        <w:t> </w:t>
      </w:r>
      <w:r>
        <w:rPr/>
        <w:t>framework</w:t>
      </w:r>
      <w:r>
        <w:rPr>
          <w:spacing w:val="-4"/>
        </w:rPr>
        <w:t> </w:t>
      </w:r>
      <w:r>
        <w:rPr/>
        <w:t>says</w:t>
      </w:r>
      <w:r>
        <w:rPr>
          <w:spacing w:val="-4"/>
        </w:rPr>
        <w:t> </w:t>
      </w:r>
      <w:r>
        <w:rPr/>
        <w:t>what</w:t>
      </w:r>
      <w:r>
        <w:rPr>
          <w:spacing w:val="-4"/>
        </w:rPr>
        <w:t> </w:t>
      </w:r>
      <w:r>
        <w:rPr/>
        <w:t>categories</w:t>
      </w:r>
      <w:r>
        <w:rPr>
          <w:spacing w:val="-4"/>
        </w:rPr>
        <w:t> </w:t>
      </w:r>
      <w:r>
        <w:rPr/>
        <w:t>to</w:t>
      </w:r>
      <w:r>
        <w:rPr>
          <w:spacing w:val="-4"/>
        </w:rPr>
        <w:t> </w:t>
      </w:r>
      <w:r>
        <w:rPr/>
        <w:t>cover,</w:t>
      </w:r>
      <w:r>
        <w:rPr>
          <w:spacing w:val="-4"/>
        </w:rPr>
        <w:t> </w:t>
      </w:r>
      <w:r>
        <w:rPr/>
        <w:t>a standard is specific enough that someone outside this deployment, a client, an auditor, a regulator, can verify the work independently instead of relying on a self-assessment.</w:t>
      </w:r>
    </w:p>
    <w:p>
      <w:pPr>
        <w:pStyle w:val="BodyText"/>
        <w:ind w:right="416"/>
      </w:pPr>
      <w:r>
        <w:rPr/>
        <w:t>ISO/IEC 27001 and 27002 govern the security program and its detailed control list respectively. CIS</w:t>
      </w:r>
      <w:r>
        <w:rPr>
          <w:spacing w:val="-4"/>
        </w:rPr>
        <w:t> </w:t>
      </w:r>
      <w:r>
        <w:rPr/>
        <w:t>Benchmarks</w:t>
      </w:r>
      <w:r>
        <w:rPr>
          <w:spacing w:val="-4"/>
        </w:rPr>
        <w:t> </w:t>
      </w:r>
      <w:r>
        <w:rPr/>
        <w:t>double</w:t>
      </w:r>
      <w:r>
        <w:rPr>
          <w:spacing w:val="-4"/>
        </w:rPr>
        <w:t> </w:t>
      </w:r>
      <w:r>
        <w:rPr/>
        <w:t>as</w:t>
      </w:r>
      <w:r>
        <w:rPr>
          <w:spacing w:val="-4"/>
        </w:rPr>
        <w:t> </w:t>
      </w:r>
      <w:r>
        <w:rPr/>
        <w:t>a</w:t>
      </w:r>
      <w:r>
        <w:rPr>
          <w:spacing w:val="-4"/>
        </w:rPr>
        <w:t> </w:t>
      </w:r>
      <w:r>
        <w:rPr/>
        <w:t>standard</w:t>
      </w:r>
      <w:r>
        <w:rPr>
          <w:spacing w:val="-4"/>
        </w:rPr>
        <w:t> </w:t>
      </w:r>
      <w:r>
        <w:rPr/>
        <w:t>as</w:t>
      </w:r>
      <w:r>
        <w:rPr>
          <w:spacing w:val="-4"/>
        </w:rPr>
        <w:t> </w:t>
      </w:r>
      <w:r>
        <w:rPr/>
        <w:t>well</w:t>
      </w:r>
      <w:r>
        <w:rPr>
          <w:spacing w:val="-4"/>
        </w:rPr>
        <w:t> </w:t>
      </w:r>
      <w:r>
        <w:rPr/>
        <w:t>as</w:t>
      </w:r>
      <w:r>
        <w:rPr>
          <w:spacing w:val="-4"/>
        </w:rPr>
        <w:t> </w:t>
      </w:r>
      <w:r>
        <w:rPr/>
        <w:t>a</w:t>
      </w:r>
      <w:r>
        <w:rPr>
          <w:spacing w:val="-4"/>
        </w:rPr>
        <w:t> </w:t>
      </w:r>
      <w:r>
        <w:rPr/>
        <w:t>framework,</w:t>
      </w:r>
      <w:r>
        <w:rPr>
          <w:spacing w:val="-4"/>
        </w:rPr>
        <w:t> </w:t>
      </w:r>
      <w:r>
        <w:rPr/>
        <w:t>since</w:t>
      </w:r>
      <w:r>
        <w:rPr>
          <w:spacing w:val="-4"/>
        </w:rPr>
        <w:t> </w:t>
      </w:r>
      <w:r>
        <w:rPr/>
        <w:t>the</w:t>
      </w:r>
      <w:r>
        <w:rPr>
          <w:spacing w:val="-4"/>
        </w:rPr>
        <w:t> </w:t>
      </w:r>
      <w:r>
        <w:rPr/>
        <w:t>same</w:t>
      </w:r>
      <w:r>
        <w:rPr>
          <w:spacing w:val="-4"/>
        </w:rPr>
        <w:t> </w:t>
      </w:r>
      <w:r>
        <w:rPr/>
        <w:t>checklist</w:t>
      </w:r>
      <w:r>
        <w:rPr>
          <w:spacing w:val="-4"/>
        </w:rPr>
        <w:t> </w:t>
      </w:r>
      <w:r>
        <w:rPr/>
        <w:t>produces a numeric, comparable score. CSA CCM earns its place specifically because it was written for cloud and IaaS platforms like OpenStack, not adapted from generic on-premises IT guidance.</w:t>
      </w:r>
    </w:p>
    <w:p>
      <w:pPr>
        <w:pStyle w:val="BodyText"/>
        <w:spacing w:before="0"/>
        <w:ind w:right="424"/>
      </w:pPr>
      <w:r>
        <w:rPr/>
        <w:t>PCI-DSS</w:t>
      </w:r>
      <w:r>
        <w:rPr>
          <w:spacing w:val="-4"/>
        </w:rPr>
        <w:t> </w:t>
      </w:r>
      <w:r>
        <w:rPr/>
        <w:t>only</w:t>
      </w:r>
      <w:r>
        <w:rPr>
          <w:spacing w:val="-4"/>
        </w:rPr>
        <w:t> </w:t>
      </w:r>
      <w:r>
        <w:rPr/>
        <w:t>becomes</w:t>
      </w:r>
      <w:r>
        <w:rPr>
          <w:spacing w:val="-4"/>
        </w:rPr>
        <w:t> </w:t>
      </w:r>
      <w:r>
        <w:rPr/>
        <w:t>relevant</w:t>
      </w:r>
      <w:r>
        <w:rPr>
          <w:spacing w:val="-4"/>
        </w:rPr>
        <w:t> </w:t>
      </w:r>
      <w:r>
        <w:rPr/>
        <w:t>the</w:t>
      </w:r>
      <w:r>
        <w:rPr>
          <w:spacing w:val="-4"/>
        </w:rPr>
        <w:t> </w:t>
      </w:r>
      <w:r>
        <w:rPr/>
        <w:t>moment</w:t>
      </w:r>
      <w:r>
        <w:rPr>
          <w:spacing w:val="-4"/>
        </w:rPr>
        <w:t> </w:t>
      </w:r>
      <w:r>
        <w:rPr/>
        <w:t>any</w:t>
      </w:r>
      <w:r>
        <w:rPr>
          <w:spacing w:val="-4"/>
        </w:rPr>
        <w:t> </w:t>
      </w:r>
      <w:r>
        <w:rPr/>
        <w:t>tenant</w:t>
      </w:r>
      <w:r>
        <w:rPr>
          <w:spacing w:val="-4"/>
        </w:rPr>
        <w:t> </w:t>
      </w:r>
      <w:r>
        <w:rPr/>
        <w:t>workload</w:t>
      </w:r>
      <w:r>
        <w:rPr>
          <w:spacing w:val="-4"/>
        </w:rPr>
        <w:t> </w:t>
      </w:r>
      <w:r>
        <w:rPr/>
        <w:t>processes</w:t>
      </w:r>
      <w:r>
        <w:rPr>
          <w:spacing w:val="-4"/>
        </w:rPr>
        <w:t> </w:t>
      </w:r>
      <w:r>
        <w:rPr/>
        <w:t>payment</w:t>
      </w:r>
      <w:r>
        <w:rPr>
          <w:spacing w:val="-4"/>
        </w:rPr>
        <w:t> </w:t>
      </w:r>
      <w:r>
        <w:rPr/>
        <w:t>card</w:t>
      </w:r>
      <w:r>
        <w:rPr>
          <w:spacing w:val="-4"/>
        </w:rPr>
        <w:t> </w:t>
      </w:r>
      <w:r>
        <w:rPr/>
        <w:t>data, at which point its segmentation requirements line up closely with what Section 4 already </w:t>
      </w:r>
      <w:r>
        <w:rPr>
          <w:spacing w:val="-2"/>
        </w:rPr>
        <w:t>implements.</w:t>
      </w:r>
    </w:p>
    <w:p>
      <w:pPr>
        <w:pStyle w:val="BodyText"/>
        <w:spacing w:after="0"/>
        <w:sectPr>
          <w:type w:val="continuous"/>
          <w:pgSz w:w="12240" w:h="15840"/>
          <w:pgMar w:top="900" w:bottom="280" w:left="1080" w:right="1080"/>
        </w:sectPr>
      </w:pPr>
    </w:p>
    <w:p>
      <w:pPr>
        <w:pStyle w:val="BodyText"/>
        <w:spacing w:before="6"/>
        <w:ind w:left="0"/>
        <w:rPr>
          <w:sz w:val="2"/>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69"/>
        <w:gridCol w:w="3598"/>
        <w:gridCol w:w="3589"/>
      </w:tblGrid>
      <w:tr>
        <w:trPr>
          <w:trHeight w:val="434" w:hRule="atLeast"/>
        </w:trPr>
        <w:tc>
          <w:tcPr>
            <w:tcW w:w="2169" w:type="dxa"/>
          </w:tcPr>
          <w:p>
            <w:pPr>
              <w:pStyle w:val="TableParagraph"/>
              <w:rPr>
                <w:b/>
                <w:sz w:val="20"/>
              </w:rPr>
            </w:pPr>
            <w:r>
              <w:rPr>
                <w:b/>
                <w:spacing w:val="-2"/>
                <w:sz w:val="20"/>
              </w:rPr>
              <w:t>Standard</w:t>
            </w:r>
          </w:p>
        </w:tc>
        <w:tc>
          <w:tcPr>
            <w:tcW w:w="3598" w:type="dxa"/>
          </w:tcPr>
          <w:p>
            <w:pPr>
              <w:pStyle w:val="TableParagraph"/>
              <w:ind w:left="101"/>
              <w:rPr>
                <w:b/>
                <w:sz w:val="20"/>
              </w:rPr>
            </w:pPr>
            <w:r>
              <w:rPr>
                <w:b/>
                <w:sz w:val="20"/>
              </w:rPr>
              <w:t>What it </w:t>
            </w:r>
            <w:r>
              <w:rPr>
                <w:b/>
                <w:spacing w:val="-2"/>
                <w:sz w:val="20"/>
              </w:rPr>
              <w:t>certifies</w:t>
            </w:r>
          </w:p>
        </w:tc>
        <w:tc>
          <w:tcPr>
            <w:tcW w:w="3589" w:type="dxa"/>
          </w:tcPr>
          <w:p>
            <w:pPr>
              <w:pStyle w:val="TableParagraph"/>
              <w:ind w:left="101"/>
              <w:rPr>
                <w:b/>
                <w:sz w:val="20"/>
              </w:rPr>
            </w:pPr>
            <w:r>
              <w:rPr>
                <w:b/>
                <w:sz w:val="20"/>
              </w:rPr>
              <w:t>Applied</w:t>
            </w:r>
            <w:r>
              <w:rPr>
                <w:b/>
                <w:spacing w:val="-6"/>
                <w:sz w:val="20"/>
              </w:rPr>
              <w:t> </w:t>
            </w:r>
            <w:r>
              <w:rPr>
                <w:b/>
                <w:spacing w:val="-5"/>
                <w:sz w:val="20"/>
              </w:rPr>
              <w:t>to</w:t>
            </w:r>
          </w:p>
        </w:tc>
      </w:tr>
      <w:tr>
        <w:trPr>
          <w:trHeight w:val="1262" w:hRule="atLeast"/>
        </w:trPr>
        <w:tc>
          <w:tcPr>
            <w:tcW w:w="2169" w:type="dxa"/>
          </w:tcPr>
          <w:p>
            <w:pPr>
              <w:pStyle w:val="TableParagraph"/>
              <w:rPr>
                <w:sz w:val="20"/>
              </w:rPr>
            </w:pPr>
            <w:r>
              <w:rPr>
                <w:sz w:val="20"/>
              </w:rPr>
              <w:t>ISO/IEC</w:t>
            </w:r>
            <w:r>
              <w:rPr>
                <w:spacing w:val="-6"/>
                <w:sz w:val="20"/>
              </w:rPr>
              <w:t> </w:t>
            </w:r>
            <w:r>
              <w:rPr>
                <w:spacing w:val="-2"/>
                <w:sz w:val="20"/>
              </w:rPr>
              <w:t>27001</w:t>
            </w:r>
          </w:p>
        </w:tc>
        <w:tc>
          <w:tcPr>
            <w:tcW w:w="3598" w:type="dxa"/>
          </w:tcPr>
          <w:p>
            <w:pPr>
              <w:pStyle w:val="TableParagraph"/>
              <w:spacing w:line="288" w:lineRule="auto"/>
              <w:ind w:left="101" w:right="56"/>
              <w:rPr>
                <w:sz w:val="20"/>
              </w:rPr>
            </w:pPr>
            <w:r>
              <w:rPr>
                <w:sz w:val="20"/>
              </w:rPr>
              <w:t>That</w:t>
            </w:r>
            <w:r>
              <w:rPr>
                <w:spacing w:val="-2"/>
                <w:sz w:val="20"/>
              </w:rPr>
              <w:t> </w:t>
            </w:r>
            <w:r>
              <w:rPr>
                <w:sz w:val="20"/>
              </w:rPr>
              <w:t>an</w:t>
            </w:r>
            <w:r>
              <w:rPr>
                <w:spacing w:val="-2"/>
                <w:sz w:val="20"/>
              </w:rPr>
              <w:t> </w:t>
            </w:r>
            <w:r>
              <w:rPr>
                <w:sz w:val="20"/>
              </w:rPr>
              <w:t>actual</w:t>
            </w:r>
            <w:r>
              <w:rPr>
                <w:spacing w:val="-2"/>
                <w:sz w:val="20"/>
              </w:rPr>
              <w:t> </w:t>
            </w:r>
            <w:r>
              <w:rPr>
                <w:sz w:val="20"/>
              </w:rPr>
              <w:t>Information</w:t>
            </w:r>
            <w:r>
              <w:rPr>
                <w:spacing w:val="-2"/>
                <w:sz w:val="20"/>
              </w:rPr>
              <w:t> </w:t>
            </w:r>
            <w:r>
              <w:rPr>
                <w:sz w:val="20"/>
              </w:rPr>
              <w:t>Security Management</w:t>
            </w:r>
            <w:r>
              <w:rPr>
                <w:spacing w:val="-13"/>
                <w:sz w:val="20"/>
              </w:rPr>
              <w:t> </w:t>
            </w:r>
            <w:r>
              <w:rPr>
                <w:sz w:val="20"/>
              </w:rPr>
              <w:t>System</w:t>
            </w:r>
            <w:r>
              <w:rPr>
                <w:spacing w:val="-12"/>
                <w:sz w:val="20"/>
              </w:rPr>
              <w:t> </w:t>
            </w:r>
            <w:r>
              <w:rPr>
                <w:sz w:val="20"/>
              </w:rPr>
              <w:t>(ISMS)</w:t>
            </w:r>
            <w:r>
              <w:rPr>
                <w:spacing w:val="-13"/>
                <w:sz w:val="20"/>
              </w:rPr>
              <w:t> </w:t>
            </w:r>
            <w:r>
              <w:rPr>
                <w:sz w:val="20"/>
              </w:rPr>
              <w:t>exists, ownership, risk assessment, review </w:t>
            </w:r>
            <w:r>
              <w:rPr>
                <w:spacing w:val="-2"/>
                <w:sz w:val="20"/>
              </w:rPr>
              <w:t>cadence</w:t>
            </w:r>
          </w:p>
        </w:tc>
        <w:tc>
          <w:tcPr>
            <w:tcW w:w="3589" w:type="dxa"/>
          </w:tcPr>
          <w:p>
            <w:pPr>
              <w:pStyle w:val="TableParagraph"/>
              <w:spacing w:line="288" w:lineRule="auto"/>
              <w:ind w:left="101" w:right="155"/>
              <w:rPr>
                <w:sz w:val="20"/>
              </w:rPr>
            </w:pPr>
            <w:r>
              <w:rPr>
                <w:sz w:val="20"/>
              </w:rPr>
              <w:t>Governance of the security program itself,</w:t>
            </w:r>
            <w:r>
              <w:rPr>
                <w:spacing w:val="-11"/>
                <w:sz w:val="20"/>
              </w:rPr>
              <w:t> </w:t>
            </w:r>
            <w:r>
              <w:rPr>
                <w:sz w:val="20"/>
              </w:rPr>
              <w:t>not</w:t>
            </w:r>
            <w:r>
              <w:rPr>
                <w:spacing w:val="-11"/>
                <w:sz w:val="20"/>
              </w:rPr>
              <w:t> </w:t>
            </w:r>
            <w:r>
              <w:rPr>
                <w:sz w:val="20"/>
              </w:rPr>
              <w:t>individual</w:t>
            </w:r>
            <w:r>
              <w:rPr>
                <w:spacing w:val="-11"/>
                <w:sz w:val="20"/>
              </w:rPr>
              <w:t> </w:t>
            </w:r>
            <w:r>
              <w:rPr>
                <w:sz w:val="20"/>
              </w:rPr>
              <w:t>technical</w:t>
            </w:r>
            <w:r>
              <w:rPr>
                <w:spacing w:val="-11"/>
                <w:sz w:val="20"/>
              </w:rPr>
              <w:t> </w:t>
            </w:r>
            <w:r>
              <w:rPr>
                <w:sz w:val="20"/>
              </w:rPr>
              <w:t>settings</w:t>
            </w:r>
          </w:p>
        </w:tc>
      </w:tr>
      <w:tr>
        <w:trPr>
          <w:trHeight w:val="986" w:hRule="atLeast"/>
        </w:trPr>
        <w:tc>
          <w:tcPr>
            <w:tcW w:w="2169" w:type="dxa"/>
          </w:tcPr>
          <w:p>
            <w:pPr>
              <w:pStyle w:val="TableParagraph"/>
              <w:rPr>
                <w:sz w:val="20"/>
              </w:rPr>
            </w:pPr>
            <w:r>
              <w:rPr>
                <w:sz w:val="20"/>
              </w:rPr>
              <w:t>ISO/IEC</w:t>
            </w:r>
            <w:r>
              <w:rPr>
                <w:spacing w:val="-6"/>
                <w:sz w:val="20"/>
              </w:rPr>
              <w:t> </w:t>
            </w:r>
            <w:r>
              <w:rPr>
                <w:spacing w:val="-2"/>
                <w:sz w:val="20"/>
              </w:rPr>
              <w:t>27002</w:t>
            </w:r>
          </w:p>
        </w:tc>
        <w:tc>
          <w:tcPr>
            <w:tcW w:w="3598" w:type="dxa"/>
          </w:tcPr>
          <w:p>
            <w:pPr>
              <w:pStyle w:val="TableParagraph"/>
              <w:ind w:left="101"/>
              <w:rPr>
                <w:sz w:val="20"/>
              </w:rPr>
            </w:pPr>
            <w:r>
              <w:rPr>
                <w:sz w:val="20"/>
              </w:rPr>
              <w:t>Detailed</w:t>
            </w:r>
            <w:r>
              <w:rPr>
                <w:spacing w:val="-2"/>
                <w:sz w:val="20"/>
              </w:rPr>
              <w:t> </w:t>
            </w:r>
            <w:r>
              <w:rPr>
                <w:sz w:val="20"/>
              </w:rPr>
              <w:t>control</w:t>
            </w:r>
            <w:r>
              <w:rPr>
                <w:spacing w:val="-2"/>
                <w:sz w:val="20"/>
              </w:rPr>
              <w:t> </w:t>
            </w:r>
            <w:r>
              <w:rPr>
                <w:sz w:val="20"/>
              </w:rPr>
              <w:t>list</w:t>
            </w:r>
            <w:r>
              <w:rPr>
                <w:spacing w:val="-2"/>
                <w:sz w:val="20"/>
              </w:rPr>
              <w:t> </w:t>
            </w:r>
            <w:r>
              <w:rPr>
                <w:sz w:val="20"/>
              </w:rPr>
              <w:t>companion</w:t>
            </w:r>
            <w:r>
              <w:rPr>
                <w:spacing w:val="-2"/>
                <w:sz w:val="20"/>
              </w:rPr>
              <w:t> </w:t>
            </w:r>
            <w:r>
              <w:rPr>
                <w:sz w:val="20"/>
              </w:rPr>
              <w:t>to</w:t>
            </w:r>
            <w:r>
              <w:rPr>
                <w:spacing w:val="-1"/>
                <w:sz w:val="20"/>
              </w:rPr>
              <w:t> </w:t>
            </w:r>
            <w:r>
              <w:rPr>
                <w:spacing w:val="-2"/>
                <w:sz w:val="20"/>
              </w:rPr>
              <w:t>27001</w:t>
            </w:r>
          </w:p>
        </w:tc>
        <w:tc>
          <w:tcPr>
            <w:tcW w:w="3589" w:type="dxa"/>
          </w:tcPr>
          <w:p>
            <w:pPr>
              <w:pStyle w:val="TableParagraph"/>
              <w:spacing w:line="288" w:lineRule="auto"/>
              <w:ind w:left="101" w:right="613"/>
              <w:jc w:val="both"/>
              <w:rPr>
                <w:sz w:val="20"/>
              </w:rPr>
            </w:pPr>
            <w:r>
              <w:rPr>
                <w:sz w:val="20"/>
              </w:rPr>
              <w:t>Cross-checked</w:t>
            </w:r>
            <w:r>
              <w:rPr>
                <w:spacing w:val="-13"/>
                <w:sz w:val="20"/>
              </w:rPr>
              <w:t> </w:t>
            </w:r>
            <w:r>
              <w:rPr>
                <w:sz w:val="20"/>
              </w:rPr>
              <w:t>against</w:t>
            </w:r>
            <w:r>
              <w:rPr>
                <w:spacing w:val="-12"/>
                <w:sz w:val="20"/>
              </w:rPr>
              <w:t> </w:t>
            </w:r>
            <w:r>
              <w:rPr>
                <w:sz w:val="20"/>
              </w:rPr>
              <w:t>the</w:t>
            </w:r>
            <w:r>
              <w:rPr>
                <w:spacing w:val="-13"/>
                <w:sz w:val="20"/>
              </w:rPr>
              <w:t> </w:t>
            </w:r>
            <w:r>
              <w:rPr>
                <w:sz w:val="20"/>
              </w:rPr>
              <w:t>technical controls</w:t>
            </w:r>
            <w:r>
              <w:rPr>
                <w:spacing w:val="-4"/>
                <w:sz w:val="20"/>
              </w:rPr>
              <w:t> </w:t>
            </w:r>
            <w:r>
              <w:rPr>
                <w:sz w:val="20"/>
              </w:rPr>
              <w:t>in</w:t>
            </w:r>
            <w:r>
              <w:rPr>
                <w:spacing w:val="-4"/>
                <w:sz w:val="20"/>
              </w:rPr>
              <w:t> </w:t>
            </w:r>
            <w:r>
              <w:rPr>
                <w:sz w:val="20"/>
              </w:rPr>
              <w:t>Sections</w:t>
            </w:r>
            <w:r>
              <w:rPr>
                <w:spacing w:val="-4"/>
                <w:sz w:val="20"/>
              </w:rPr>
              <w:t> </w:t>
            </w:r>
            <w:r>
              <w:rPr>
                <w:sz w:val="20"/>
              </w:rPr>
              <w:t>3</w:t>
            </w:r>
            <w:r>
              <w:rPr>
                <w:spacing w:val="-4"/>
                <w:sz w:val="20"/>
              </w:rPr>
              <w:t> </w:t>
            </w:r>
            <w:r>
              <w:rPr>
                <w:sz w:val="20"/>
              </w:rPr>
              <w:t>and</w:t>
            </w:r>
            <w:r>
              <w:rPr>
                <w:spacing w:val="-4"/>
                <w:sz w:val="20"/>
              </w:rPr>
              <w:t> </w:t>
            </w:r>
            <w:r>
              <w:rPr>
                <w:sz w:val="20"/>
              </w:rPr>
              <w:t>5</w:t>
            </w:r>
            <w:r>
              <w:rPr>
                <w:spacing w:val="-4"/>
                <w:sz w:val="20"/>
              </w:rPr>
              <w:t> </w:t>
            </w:r>
            <w:r>
              <w:rPr>
                <w:sz w:val="20"/>
              </w:rPr>
              <w:t>(access control, cryptography)</w:t>
            </w:r>
          </w:p>
        </w:tc>
      </w:tr>
      <w:tr>
        <w:trPr>
          <w:trHeight w:val="710" w:hRule="atLeast"/>
        </w:trPr>
        <w:tc>
          <w:tcPr>
            <w:tcW w:w="2169" w:type="dxa"/>
          </w:tcPr>
          <w:p>
            <w:pPr>
              <w:pStyle w:val="TableParagraph"/>
              <w:rPr>
                <w:sz w:val="20"/>
              </w:rPr>
            </w:pPr>
            <w:r>
              <w:rPr>
                <w:sz w:val="20"/>
              </w:rPr>
              <w:t>CIS</w:t>
            </w:r>
            <w:r>
              <w:rPr>
                <w:spacing w:val="-2"/>
                <w:sz w:val="20"/>
              </w:rPr>
              <w:t> Benchmarks</w:t>
            </w:r>
          </w:p>
        </w:tc>
        <w:tc>
          <w:tcPr>
            <w:tcW w:w="3598" w:type="dxa"/>
          </w:tcPr>
          <w:p>
            <w:pPr>
              <w:pStyle w:val="TableParagraph"/>
              <w:spacing w:line="288" w:lineRule="auto"/>
              <w:ind w:left="101"/>
              <w:rPr>
                <w:sz w:val="20"/>
              </w:rPr>
            </w:pPr>
            <w:r>
              <w:rPr>
                <w:sz w:val="20"/>
              </w:rPr>
              <w:t>Scored</w:t>
            </w:r>
            <w:r>
              <w:rPr>
                <w:spacing w:val="-8"/>
                <w:sz w:val="20"/>
              </w:rPr>
              <w:t> </w:t>
            </w:r>
            <w:r>
              <w:rPr>
                <w:sz w:val="20"/>
              </w:rPr>
              <w:t>hardening</w:t>
            </w:r>
            <w:r>
              <w:rPr>
                <w:spacing w:val="-8"/>
                <w:sz w:val="20"/>
              </w:rPr>
              <w:t> </w:t>
            </w:r>
            <w:r>
              <w:rPr>
                <w:sz w:val="20"/>
              </w:rPr>
              <w:t>baseline</w:t>
            </w:r>
            <w:r>
              <w:rPr>
                <w:spacing w:val="-8"/>
                <w:sz w:val="20"/>
              </w:rPr>
              <w:t> </w:t>
            </w:r>
            <w:r>
              <w:rPr>
                <w:sz w:val="20"/>
              </w:rPr>
              <w:t>for</w:t>
            </w:r>
            <w:r>
              <w:rPr>
                <w:spacing w:val="-8"/>
                <w:sz w:val="20"/>
              </w:rPr>
              <w:t> </w:t>
            </w:r>
            <w:r>
              <w:rPr>
                <w:sz w:val="20"/>
              </w:rPr>
              <w:t>Linux</w:t>
            </w:r>
            <w:r>
              <w:rPr>
                <w:spacing w:val="-8"/>
                <w:sz w:val="20"/>
              </w:rPr>
              <w:t> </w:t>
            </w:r>
            <w:r>
              <w:rPr>
                <w:sz w:val="20"/>
              </w:rPr>
              <w:t>and </w:t>
            </w:r>
            <w:r>
              <w:rPr>
                <w:spacing w:val="-2"/>
                <w:sz w:val="20"/>
              </w:rPr>
              <w:t>Docker</w:t>
            </w:r>
          </w:p>
        </w:tc>
        <w:tc>
          <w:tcPr>
            <w:tcW w:w="3589" w:type="dxa"/>
          </w:tcPr>
          <w:p>
            <w:pPr>
              <w:pStyle w:val="TableParagraph"/>
              <w:spacing w:line="288" w:lineRule="auto"/>
              <w:ind w:left="101" w:right="155"/>
              <w:rPr>
                <w:sz w:val="20"/>
              </w:rPr>
            </w:pPr>
            <w:r>
              <w:rPr>
                <w:sz w:val="20"/>
              </w:rPr>
              <w:t>Host/container</w:t>
            </w:r>
            <w:r>
              <w:rPr>
                <w:spacing w:val="-13"/>
                <w:sz w:val="20"/>
              </w:rPr>
              <w:t> </w:t>
            </w:r>
            <w:r>
              <w:rPr>
                <w:sz w:val="20"/>
              </w:rPr>
              <w:t>hardening</w:t>
            </w:r>
            <w:r>
              <w:rPr>
                <w:spacing w:val="-12"/>
                <w:sz w:val="20"/>
              </w:rPr>
              <w:t> </w:t>
            </w:r>
            <w:r>
              <w:rPr>
                <w:sz w:val="20"/>
              </w:rPr>
              <w:t>scoring</w:t>
            </w:r>
            <w:r>
              <w:rPr>
                <w:spacing w:val="-13"/>
                <w:sz w:val="20"/>
              </w:rPr>
              <w:t> </w:t>
            </w:r>
            <w:r>
              <w:rPr>
                <w:sz w:val="20"/>
              </w:rPr>
              <w:t>in Section 7</w:t>
            </w:r>
          </w:p>
        </w:tc>
      </w:tr>
      <w:tr>
        <w:trPr>
          <w:trHeight w:val="710" w:hRule="atLeast"/>
        </w:trPr>
        <w:tc>
          <w:tcPr>
            <w:tcW w:w="2169" w:type="dxa"/>
          </w:tcPr>
          <w:p>
            <w:pPr>
              <w:pStyle w:val="TableParagraph"/>
              <w:spacing w:line="288" w:lineRule="auto"/>
              <w:rPr>
                <w:sz w:val="20"/>
              </w:rPr>
            </w:pPr>
            <w:r>
              <w:rPr>
                <w:sz w:val="20"/>
              </w:rPr>
              <w:t>CSA</w:t>
            </w:r>
            <w:r>
              <w:rPr>
                <w:spacing w:val="-13"/>
                <w:sz w:val="20"/>
              </w:rPr>
              <w:t> </w:t>
            </w:r>
            <w:r>
              <w:rPr>
                <w:sz w:val="20"/>
              </w:rPr>
              <w:t>Cloud</w:t>
            </w:r>
            <w:r>
              <w:rPr>
                <w:spacing w:val="-12"/>
                <w:sz w:val="20"/>
              </w:rPr>
              <w:t> </w:t>
            </w:r>
            <w:r>
              <w:rPr>
                <w:sz w:val="20"/>
              </w:rPr>
              <w:t>Controls Matrix (CCM)</w:t>
            </w:r>
          </w:p>
        </w:tc>
        <w:tc>
          <w:tcPr>
            <w:tcW w:w="3598" w:type="dxa"/>
          </w:tcPr>
          <w:p>
            <w:pPr>
              <w:pStyle w:val="TableParagraph"/>
              <w:ind w:left="101"/>
              <w:rPr>
                <w:sz w:val="20"/>
              </w:rPr>
            </w:pPr>
            <w:r>
              <w:rPr>
                <w:sz w:val="20"/>
              </w:rPr>
              <w:t>Cloud/IaaS-specific</w:t>
            </w:r>
            <w:r>
              <w:rPr>
                <w:spacing w:val="-12"/>
                <w:sz w:val="20"/>
              </w:rPr>
              <w:t> </w:t>
            </w:r>
            <w:r>
              <w:rPr>
                <w:sz w:val="20"/>
              </w:rPr>
              <w:t>control</w:t>
            </w:r>
            <w:r>
              <w:rPr>
                <w:spacing w:val="-12"/>
                <w:sz w:val="20"/>
              </w:rPr>
              <w:t> </w:t>
            </w:r>
            <w:r>
              <w:rPr>
                <w:spacing w:val="-2"/>
                <w:sz w:val="20"/>
              </w:rPr>
              <w:t>matrix</w:t>
            </w:r>
          </w:p>
        </w:tc>
        <w:tc>
          <w:tcPr>
            <w:tcW w:w="3589" w:type="dxa"/>
          </w:tcPr>
          <w:p>
            <w:pPr>
              <w:pStyle w:val="TableParagraph"/>
              <w:spacing w:line="288" w:lineRule="auto"/>
              <w:ind w:left="101" w:right="155"/>
              <w:rPr>
                <w:sz w:val="20"/>
              </w:rPr>
            </w:pPr>
            <w:r>
              <w:rPr>
                <w:sz w:val="20"/>
              </w:rPr>
              <w:t>Cross-reference for multi-tenant, virtualized</w:t>
            </w:r>
            <w:r>
              <w:rPr>
                <w:spacing w:val="-13"/>
                <w:sz w:val="20"/>
              </w:rPr>
              <w:t> </w:t>
            </w:r>
            <w:r>
              <w:rPr>
                <w:sz w:val="20"/>
              </w:rPr>
              <w:t>infrastructure</w:t>
            </w:r>
            <w:r>
              <w:rPr>
                <w:spacing w:val="-12"/>
                <w:sz w:val="20"/>
              </w:rPr>
              <w:t> </w:t>
            </w:r>
            <w:r>
              <w:rPr>
                <w:sz w:val="20"/>
              </w:rPr>
              <w:t>controls</w:t>
            </w:r>
          </w:p>
        </w:tc>
      </w:tr>
      <w:tr>
        <w:trPr>
          <w:trHeight w:val="986" w:hRule="atLeast"/>
        </w:trPr>
        <w:tc>
          <w:tcPr>
            <w:tcW w:w="2169" w:type="dxa"/>
          </w:tcPr>
          <w:p>
            <w:pPr>
              <w:pStyle w:val="TableParagraph"/>
              <w:rPr>
                <w:sz w:val="20"/>
              </w:rPr>
            </w:pPr>
            <w:r>
              <w:rPr>
                <w:spacing w:val="-2"/>
                <w:sz w:val="20"/>
              </w:rPr>
              <w:t>PCI-</w:t>
            </w:r>
            <w:r>
              <w:rPr>
                <w:spacing w:val="-5"/>
                <w:sz w:val="20"/>
              </w:rPr>
              <w:t>DSS</w:t>
            </w:r>
          </w:p>
        </w:tc>
        <w:tc>
          <w:tcPr>
            <w:tcW w:w="3598" w:type="dxa"/>
          </w:tcPr>
          <w:p>
            <w:pPr>
              <w:pStyle w:val="TableParagraph"/>
              <w:ind w:left="101"/>
              <w:rPr>
                <w:sz w:val="20"/>
              </w:rPr>
            </w:pPr>
            <w:r>
              <w:rPr>
                <w:sz w:val="20"/>
              </w:rPr>
              <w:t>Payment</w:t>
            </w:r>
            <w:r>
              <w:rPr>
                <w:spacing w:val="-3"/>
                <w:sz w:val="20"/>
              </w:rPr>
              <w:t> </w:t>
            </w:r>
            <w:r>
              <w:rPr>
                <w:sz w:val="20"/>
              </w:rPr>
              <w:t>card</w:t>
            </w:r>
            <w:r>
              <w:rPr>
                <w:spacing w:val="-2"/>
                <w:sz w:val="20"/>
              </w:rPr>
              <w:t> </w:t>
            </w:r>
            <w:r>
              <w:rPr>
                <w:sz w:val="20"/>
              </w:rPr>
              <w:t>data</w:t>
            </w:r>
            <w:r>
              <w:rPr>
                <w:spacing w:val="-2"/>
                <w:sz w:val="20"/>
              </w:rPr>
              <w:t> </w:t>
            </w:r>
            <w:r>
              <w:rPr>
                <w:sz w:val="20"/>
              </w:rPr>
              <w:t>handling</w:t>
            </w:r>
            <w:r>
              <w:rPr>
                <w:spacing w:val="-2"/>
                <w:sz w:val="20"/>
              </w:rPr>
              <w:t> requirements</w:t>
            </w:r>
          </w:p>
        </w:tc>
        <w:tc>
          <w:tcPr>
            <w:tcW w:w="3589" w:type="dxa"/>
          </w:tcPr>
          <w:p>
            <w:pPr>
              <w:pStyle w:val="TableParagraph"/>
              <w:spacing w:line="288" w:lineRule="auto"/>
              <w:ind w:left="101"/>
              <w:rPr>
                <w:sz w:val="20"/>
              </w:rPr>
            </w:pPr>
            <w:r>
              <w:rPr>
                <w:sz w:val="20"/>
              </w:rPr>
              <w:t>Only</w:t>
            </w:r>
            <w:r>
              <w:rPr>
                <w:spacing w:val="-7"/>
                <w:sz w:val="20"/>
              </w:rPr>
              <w:t> </w:t>
            </w:r>
            <w:r>
              <w:rPr>
                <w:sz w:val="20"/>
              </w:rPr>
              <w:t>if</w:t>
            </w:r>
            <w:r>
              <w:rPr>
                <w:spacing w:val="-7"/>
                <w:sz w:val="20"/>
              </w:rPr>
              <w:t> </w:t>
            </w:r>
            <w:r>
              <w:rPr>
                <w:sz w:val="20"/>
              </w:rPr>
              <w:t>a</w:t>
            </w:r>
            <w:r>
              <w:rPr>
                <w:spacing w:val="-7"/>
                <w:sz w:val="20"/>
              </w:rPr>
              <w:t> </w:t>
            </w:r>
            <w:r>
              <w:rPr>
                <w:sz w:val="20"/>
              </w:rPr>
              <w:t>tenant</w:t>
            </w:r>
            <w:r>
              <w:rPr>
                <w:spacing w:val="-7"/>
                <w:sz w:val="20"/>
              </w:rPr>
              <w:t> </w:t>
            </w:r>
            <w:r>
              <w:rPr>
                <w:sz w:val="20"/>
              </w:rPr>
              <w:t>workload</w:t>
            </w:r>
            <w:r>
              <w:rPr>
                <w:spacing w:val="-7"/>
                <w:sz w:val="20"/>
              </w:rPr>
              <w:t> </w:t>
            </w:r>
            <w:r>
              <w:rPr>
                <w:sz w:val="20"/>
              </w:rPr>
              <w:t>processes</w:t>
            </w:r>
            <w:r>
              <w:rPr>
                <w:spacing w:val="-7"/>
                <w:sz w:val="20"/>
              </w:rPr>
              <w:t> </w:t>
            </w:r>
            <w:r>
              <w:rPr>
                <w:sz w:val="20"/>
              </w:rPr>
              <w:t>card payment data, segmentation rules align closely with Section 4</w:t>
            </w:r>
          </w:p>
        </w:tc>
      </w:tr>
    </w:tbl>
    <w:p>
      <w:pPr>
        <w:pStyle w:val="Heading2"/>
        <w:numPr>
          <w:ilvl w:val="1"/>
          <w:numId w:val="1"/>
        </w:numPr>
        <w:tabs>
          <w:tab w:pos="720" w:val="left" w:leader="none"/>
        </w:tabs>
        <w:spacing w:line="240" w:lineRule="auto" w:before="123" w:after="0"/>
        <w:ind w:left="720" w:right="0" w:hanging="360"/>
        <w:jc w:val="left"/>
      </w:pPr>
      <w:bookmarkStart w:name="2.3 Thumb Rules " w:id="4"/>
      <w:bookmarkEnd w:id="4"/>
      <w:r>
        <w:rPr>
          <w:b w:val="0"/>
        </w:rPr>
      </w:r>
      <w:r>
        <w:rPr/>
        <w:t>Thumb</w:t>
      </w:r>
      <w:r>
        <w:rPr>
          <w:spacing w:val="-3"/>
        </w:rPr>
        <w:t> </w:t>
      </w:r>
      <w:r>
        <w:rPr>
          <w:spacing w:val="-2"/>
        </w:rPr>
        <w:t>Rules</w:t>
      </w:r>
    </w:p>
    <w:p>
      <w:pPr>
        <w:pStyle w:val="BodyText"/>
        <w:spacing w:before="104"/>
        <w:ind w:right="355"/>
      </w:pPr>
      <w:r>
        <w:rPr/>
        <w:t>A thumb rule is a short, always-true guiding sentence that requires no lookup at all, the fast, memorizable version of a framework or standard for the moments when there genuinely is no time to consult NIST SP 800-53 before making a call. Frameworks and standards are long documents;</w:t>
      </w:r>
      <w:r>
        <w:rPr>
          <w:spacing w:val="-3"/>
        </w:rPr>
        <w:t> </w:t>
      </w:r>
      <w:r>
        <w:rPr/>
        <w:t>thumb</w:t>
      </w:r>
      <w:r>
        <w:rPr>
          <w:spacing w:val="-3"/>
        </w:rPr>
        <w:t> </w:t>
      </w:r>
      <w:r>
        <w:rPr/>
        <w:t>rules</w:t>
      </w:r>
      <w:r>
        <w:rPr>
          <w:spacing w:val="-3"/>
        </w:rPr>
        <w:t> </w:t>
      </w:r>
      <w:r>
        <w:rPr/>
        <w:t>are</w:t>
      </w:r>
      <w:r>
        <w:rPr>
          <w:spacing w:val="-3"/>
        </w:rPr>
        <w:t> </w:t>
      </w:r>
      <w:r>
        <w:rPr/>
        <w:t>what</w:t>
      </w:r>
      <w:r>
        <w:rPr>
          <w:spacing w:val="-3"/>
        </w:rPr>
        <w:t> </w:t>
      </w:r>
      <w:r>
        <w:rPr/>
        <w:t>actually</w:t>
      </w:r>
      <w:r>
        <w:rPr>
          <w:spacing w:val="-3"/>
        </w:rPr>
        <w:t> </w:t>
      </w:r>
      <w:r>
        <w:rPr/>
        <w:t>gets</w:t>
      </w:r>
      <w:r>
        <w:rPr>
          <w:spacing w:val="-3"/>
        </w:rPr>
        <w:t> </w:t>
      </w:r>
      <w:r>
        <w:rPr/>
        <w:t>carried</w:t>
      </w:r>
      <w:r>
        <w:rPr>
          <w:spacing w:val="-3"/>
        </w:rPr>
        <w:t> </w:t>
      </w:r>
      <w:r>
        <w:rPr/>
        <w:t>in</w:t>
      </w:r>
      <w:r>
        <w:rPr>
          <w:spacing w:val="-3"/>
        </w:rPr>
        <w:t> </w:t>
      </w:r>
      <w:r>
        <w:rPr/>
        <w:t>someone's</w:t>
      </w:r>
      <w:r>
        <w:rPr>
          <w:spacing w:val="-3"/>
        </w:rPr>
        <w:t> </w:t>
      </w:r>
      <w:r>
        <w:rPr/>
        <w:t>head</w:t>
      </w:r>
      <w:r>
        <w:rPr>
          <w:spacing w:val="-3"/>
        </w:rPr>
        <w:t> </w:t>
      </w:r>
      <w:r>
        <w:rPr/>
        <w:t>during</w:t>
      </w:r>
      <w:r>
        <w:rPr>
          <w:spacing w:val="-3"/>
        </w:rPr>
        <w:t> </w:t>
      </w:r>
      <w:r>
        <w:rPr/>
        <w:t>an</w:t>
      </w:r>
      <w:r>
        <w:rPr>
          <w:spacing w:val="-3"/>
        </w:rPr>
        <w:t> </w:t>
      </w:r>
      <w:r>
        <w:rPr/>
        <w:t>incident</w:t>
      </w:r>
      <w:r>
        <w:rPr>
          <w:spacing w:val="-3"/>
        </w:rPr>
        <w:t> </w:t>
      </w:r>
      <w:r>
        <w:rPr/>
        <w:t>or</w:t>
      </w:r>
      <w:r>
        <w:rPr>
          <w:spacing w:val="-3"/>
        </w:rPr>
        <w:t> </w:t>
      </w:r>
      <w:r>
        <w:rPr/>
        <w:t>a routine configuration decision.</w:t>
      </w:r>
    </w:p>
    <w:p>
      <w:pPr>
        <w:pStyle w:val="BodyText"/>
        <w:ind w:right="355"/>
      </w:pPr>
      <w:r>
        <w:rPr/>
        <w:t>Each</w:t>
      </w:r>
      <w:r>
        <w:rPr>
          <w:spacing w:val="-4"/>
        </w:rPr>
        <w:t> </w:t>
      </w:r>
      <w:r>
        <w:rPr/>
        <w:t>rule</w:t>
      </w:r>
      <w:r>
        <w:rPr>
          <w:spacing w:val="-4"/>
        </w:rPr>
        <w:t> </w:t>
      </w:r>
      <w:r>
        <w:rPr/>
        <w:t>below</w:t>
      </w:r>
      <w:r>
        <w:rPr>
          <w:spacing w:val="-4"/>
        </w:rPr>
        <w:t> </w:t>
      </w:r>
      <w:r>
        <w:rPr/>
        <w:t>is</w:t>
      </w:r>
      <w:r>
        <w:rPr>
          <w:spacing w:val="-4"/>
        </w:rPr>
        <w:t> </w:t>
      </w:r>
      <w:r>
        <w:rPr/>
        <w:t>stated</w:t>
      </w:r>
      <w:r>
        <w:rPr>
          <w:spacing w:val="-4"/>
        </w:rPr>
        <w:t> </w:t>
      </w:r>
      <w:r>
        <w:rPr/>
        <w:t>as</w:t>
      </w:r>
      <w:r>
        <w:rPr>
          <w:spacing w:val="-4"/>
        </w:rPr>
        <w:t> </w:t>
      </w:r>
      <w:r>
        <w:rPr/>
        <w:t>its</w:t>
      </w:r>
      <w:r>
        <w:rPr>
          <w:spacing w:val="-4"/>
        </w:rPr>
        <w:t> </w:t>
      </w:r>
      <w:r>
        <w:rPr/>
        <w:t>concrete</w:t>
      </w:r>
      <w:r>
        <w:rPr>
          <w:spacing w:val="-4"/>
        </w:rPr>
        <w:t> </w:t>
      </w:r>
      <w:r>
        <w:rPr/>
        <w:t>OpenStack-specific</w:t>
      </w:r>
      <w:r>
        <w:rPr>
          <w:spacing w:val="-4"/>
        </w:rPr>
        <w:t> </w:t>
      </w:r>
      <w:r>
        <w:rPr/>
        <w:t>application,</w:t>
      </w:r>
      <w:r>
        <w:rPr>
          <w:spacing w:val="-4"/>
        </w:rPr>
        <w:t> </w:t>
      </w:r>
      <w:r>
        <w:rPr/>
        <w:t>not</w:t>
      </w:r>
      <w:r>
        <w:rPr>
          <w:spacing w:val="-4"/>
        </w:rPr>
        <w:t> </w:t>
      </w:r>
      <w:r>
        <w:rPr/>
        <w:t>as</w:t>
      </w:r>
      <w:r>
        <w:rPr>
          <w:spacing w:val="-4"/>
        </w:rPr>
        <w:t> </w:t>
      </w:r>
      <w:r>
        <w:rPr/>
        <w:t>an</w:t>
      </w:r>
      <w:r>
        <w:rPr>
          <w:spacing w:val="-4"/>
        </w:rPr>
        <w:t> </w:t>
      </w:r>
      <w:r>
        <w:rPr/>
        <w:t>abstract </w:t>
      </w:r>
      <w:r>
        <w:rPr>
          <w:spacing w:val="-2"/>
        </w:rPr>
        <w:t>principle.</w:t>
      </w:r>
    </w:p>
    <w:p>
      <w:pPr>
        <w:pStyle w:val="BodyText"/>
        <w:spacing w:before="4" w:after="1"/>
        <w:ind w:left="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2"/>
        <w:gridCol w:w="6611"/>
      </w:tblGrid>
      <w:tr>
        <w:trPr>
          <w:trHeight w:val="434" w:hRule="atLeast"/>
        </w:trPr>
        <w:tc>
          <w:tcPr>
            <w:tcW w:w="2742" w:type="dxa"/>
          </w:tcPr>
          <w:p>
            <w:pPr>
              <w:pStyle w:val="TableParagraph"/>
              <w:rPr>
                <w:b/>
                <w:sz w:val="20"/>
              </w:rPr>
            </w:pPr>
            <w:r>
              <w:rPr>
                <w:b/>
                <w:sz w:val="20"/>
              </w:rPr>
              <w:t>Thumb</w:t>
            </w:r>
            <w:r>
              <w:rPr>
                <w:b/>
                <w:spacing w:val="-4"/>
                <w:sz w:val="20"/>
              </w:rPr>
              <w:t> rule</w:t>
            </w:r>
          </w:p>
        </w:tc>
        <w:tc>
          <w:tcPr>
            <w:tcW w:w="6611" w:type="dxa"/>
          </w:tcPr>
          <w:p>
            <w:pPr>
              <w:pStyle w:val="TableParagraph"/>
              <w:rPr>
                <w:b/>
                <w:sz w:val="20"/>
              </w:rPr>
            </w:pPr>
            <w:r>
              <w:rPr>
                <w:b/>
                <w:spacing w:val="-2"/>
                <w:sz w:val="20"/>
              </w:rPr>
              <w:t>OpenStack-specific</w:t>
            </w:r>
            <w:r>
              <w:rPr>
                <w:b/>
                <w:spacing w:val="19"/>
                <w:sz w:val="20"/>
              </w:rPr>
              <w:t> </w:t>
            </w:r>
            <w:r>
              <w:rPr>
                <w:b/>
                <w:spacing w:val="-2"/>
                <w:sz w:val="20"/>
              </w:rPr>
              <w:t>application</w:t>
            </w:r>
          </w:p>
        </w:tc>
      </w:tr>
      <w:tr>
        <w:trPr>
          <w:trHeight w:val="710" w:hRule="atLeast"/>
        </w:trPr>
        <w:tc>
          <w:tcPr>
            <w:tcW w:w="2742" w:type="dxa"/>
          </w:tcPr>
          <w:p>
            <w:pPr>
              <w:pStyle w:val="TableParagraph"/>
              <w:rPr>
                <w:sz w:val="20"/>
              </w:rPr>
            </w:pPr>
            <w:r>
              <w:rPr>
                <w:sz w:val="20"/>
              </w:rPr>
              <w:t>Least</w:t>
            </w:r>
            <w:r>
              <w:rPr>
                <w:spacing w:val="-2"/>
                <w:sz w:val="20"/>
              </w:rPr>
              <w:t> </w:t>
            </w:r>
            <w:r>
              <w:rPr>
                <w:sz w:val="20"/>
              </w:rPr>
              <w:t>privilege,</w:t>
            </w:r>
            <w:r>
              <w:rPr>
                <w:spacing w:val="-2"/>
                <w:sz w:val="20"/>
              </w:rPr>
              <w:t> always</w:t>
            </w:r>
          </w:p>
        </w:tc>
        <w:tc>
          <w:tcPr>
            <w:tcW w:w="6611" w:type="dxa"/>
          </w:tcPr>
          <w:p>
            <w:pPr>
              <w:pStyle w:val="TableParagraph"/>
              <w:spacing w:line="288" w:lineRule="auto"/>
              <w:rPr>
                <w:sz w:val="20"/>
              </w:rPr>
            </w:pPr>
            <w:r>
              <w:rPr>
                <w:sz w:val="20"/>
              </w:rPr>
              <w:t>No</w:t>
            </w:r>
            <w:r>
              <w:rPr>
                <w:spacing w:val="-3"/>
                <w:sz w:val="20"/>
              </w:rPr>
              <w:t> </w:t>
            </w:r>
            <w:r>
              <w:rPr>
                <w:sz w:val="20"/>
              </w:rPr>
              <w:t>user</w:t>
            </w:r>
            <w:r>
              <w:rPr>
                <w:spacing w:val="-3"/>
                <w:sz w:val="20"/>
              </w:rPr>
              <w:t> </w:t>
            </w:r>
            <w:r>
              <w:rPr>
                <w:sz w:val="20"/>
              </w:rPr>
              <w:t>or</w:t>
            </w:r>
            <w:r>
              <w:rPr>
                <w:spacing w:val="-3"/>
                <w:sz w:val="20"/>
              </w:rPr>
              <w:t> </w:t>
            </w:r>
            <w:r>
              <w:rPr>
                <w:sz w:val="20"/>
              </w:rPr>
              <w:t>service</w:t>
            </w:r>
            <w:r>
              <w:rPr>
                <w:spacing w:val="-3"/>
                <w:sz w:val="20"/>
              </w:rPr>
              <w:t> </w:t>
            </w:r>
            <w:r>
              <w:rPr>
                <w:sz w:val="20"/>
              </w:rPr>
              <w:t>is</w:t>
            </w:r>
            <w:r>
              <w:rPr>
                <w:spacing w:val="-3"/>
                <w:sz w:val="20"/>
              </w:rPr>
              <w:t> </w:t>
            </w:r>
            <w:r>
              <w:rPr>
                <w:sz w:val="20"/>
              </w:rPr>
              <w:t>granted</w:t>
            </w:r>
            <w:r>
              <w:rPr>
                <w:spacing w:val="-3"/>
                <w:sz w:val="20"/>
              </w:rPr>
              <w:t> </w:t>
            </w:r>
            <w:r>
              <w:rPr>
                <w:sz w:val="20"/>
              </w:rPr>
              <w:t>the</w:t>
            </w:r>
            <w:r>
              <w:rPr>
                <w:spacing w:val="-3"/>
                <w:sz w:val="20"/>
              </w:rPr>
              <w:t> </w:t>
            </w:r>
            <w:r>
              <w:rPr>
                <w:sz w:val="20"/>
              </w:rPr>
              <w:t>admin</w:t>
            </w:r>
            <w:r>
              <w:rPr>
                <w:spacing w:val="-3"/>
                <w:sz w:val="20"/>
              </w:rPr>
              <w:t> </w:t>
            </w:r>
            <w:r>
              <w:rPr>
                <w:sz w:val="20"/>
              </w:rPr>
              <w:t>role</w:t>
            </w:r>
            <w:r>
              <w:rPr>
                <w:spacing w:val="-3"/>
                <w:sz w:val="20"/>
              </w:rPr>
              <w:t> </w:t>
            </w:r>
            <w:r>
              <w:rPr>
                <w:sz w:val="20"/>
              </w:rPr>
              <w:t>in</w:t>
            </w:r>
            <w:r>
              <w:rPr>
                <w:spacing w:val="-3"/>
                <w:sz w:val="20"/>
              </w:rPr>
              <w:t> </w:t>
            </w:r>
            <w:r>
              <w:rPr>
                <w:sz w:val="20"/>
              </w:rPr>
              <w:t>Keystone</w:t>
            </w:r>
            <w:r>
              <w:rPr>
                <w:spacing w:val="-3"/>
                <w:sz w:val="20"/>
              </w:rPr>
              <w:t> </w:t>
            </w:r>
            <w:r>
              <w:rPr>
                <w:sz w:val="20"/>
              </w:rPr>
              <w:t>unless</w:t>
            </w:r>
            <w:r>
              <w:rPr>
                <w:spacing w:val="-3"/>
                <w:sz w:val="20"/>
              </w:rPr>
              <w:t> </w:t>
            </w:r>
            <w:r>
              <w:rPr>
                <w:sz w:val="20"/>
              </w:rPr>
              <w:t>it</w:t>
            </w:r>
            <w:r>
              <w:rPr>
                <w:spacing w:val="-3"/>
                <w:sz w:val="20"/>
              </w:rPr>
              <w:t> </w:t>
            </w:r>
            <w:r>
              <w:rPr>
                <w:sz w:val="20"/>
              </w:rPr>
              <w:t>is</w:t>
            </w:r>
            <w:r>
              <w:rPr>
                <w:spacing w:val="-3"/>
                <w:sz w:val="20"/>
              </w:rPr>
              <w:t> </w:t>
            </w:r>
            <w:r>
              <w:rPr>
                <w:sz w:val="20"/>
              </w:rPr>
              <w:t>strictly </w:t>
            </w:r>
            <w:r>
              <w:rPr>
                <w:spacing w:val="-2"/>
                <w:sz w:val="20"/>
              </w:rPr>
              <w:t>required</w:t>
            </w:r>
          </w:p>
        </w:tc>
      </w:tr>
      <w:tr>
        <w:trPr>
          <w:trHeight w:val="434" w:hRule="atLeast"/>
        </w:trPr>
        <w:tc>
          <w:tcPr>
            <w:tcW w:w="2742" w:type="dxa"/>
          </w:tcPr>
          <w:p>
            <w:pPr>
              <w:pStyle w:val="TableParagraph"/>
              <w:rPr>
                <w:sz w:val="20"/>
              </w:rPr>
            </w:pPr>
            <w:r>
              <w:rPr>
                <w:sz w:val="20"/>
              </w:rPr>
              <w:t>Deny by </w:t>
            </w:r>
            <w:r>
              <w:rPr>
                <w:spacing w:val="-2"/>
                <w:sz w:val="20"/>
              </w:rPr>
              <w:t>default</w:t>
            </w:r>
          </w:p>
        </w:tc>
        <w:tc>
          <w:tcPr>
            <w:tcW w:w="6611" w:type="dxa"/>
          </w:tcPr>
          <w:p>
            <w:pPr>
              <w:pStyle w:val="TableParagraph"/>
              <w:rPr>
                <w:sz w:val="20"/>
              </w:rPr>
            </w:pPr>
            <w:r>
              <w:rPr>
                <w:sz w:val="20"/>
              </w:rPr>
              <w:t>Every</w:t>
            </w:r>
            <w:r>
              <w:rPr>
                <w:spacing w:val="-2"/>
                <w:sz w:val="20"/>
              </w:rPr>
              <w:t> </w:t>
            </w:r>
            <w:r>
              <w:rPr>
                <w:sz w:val="20"/>
              </w:rPr>
              <w:t>security</w:t>
            </w:r>
            <w:r>
              <w:rPr>
                <w:spacing w:val="-2"/>
                <w:sz w:val="20"/>
              </w:rPr>
              <w:t> </w:t>
            </w:r>
            <w:r>
              <w:rPr>
                <w:sz w:val="20"/>
              </w:rPr>
              <w:t>group</w:t>
            </w:r>
            <w:r>
              <w:rPr>
                <w:spacing w:val="-2"/>
                <w:sz w:val="20"/>
              </w:rPr>
              <w:t> </w:t>
            </w:r>
            <w:r>
              <w:rPr>
                <w:sz w:val="20"/>
              </w:rPr>
              <w:t>starts</w:t>
            </w:r>
            <w:r>
              <w:rPr>
                <w:spacing w:val="-1"/>
                <w:sz w:val="20"/>
              </w:rPr>
              <w:t> </w:t>
            </w:r>
            <w:r>
              <w:rPr>
                <w:sz w:val="20"/>
              </w:rPr>
              <w:t>closed;</w:t>
            </w:r>
            <w:r>
              <w:rPr>
                <w:spacing w:val="-2"/>
                <w:sz w:val="20"/>
              </w:rPr>
              <w:t> </w:t>
            </w:r>
            <w:r>
              <w:rPr>
                <w:sz w:val="20"/>
              </w:rPr>
              <w:t>only</w:t>
            </w:r>
            <w:r>
              <w:rPr>
                <w:spacing w:val="-2"/>
                <w:sz w:val="20"/>
              </w:rPr>
              <w:t> </w:t>
            </w:r>
            <w:r>
              <w:rPr>
                <w:sz w:val="20"/>
              </w:rPr>
              <w:t>explicitly</w:t>
            </w:r>
            <w:r>
              <w:rPr>
                <w:spacing w:val="-1"/>
                <w:sz w:val="20"/>
              </w:rPr>
              <w:t> </w:t>
            </w:r>
            <w:r>
              <w:rPr>
                <w:sz w:val="20"/>
              </w:rPr>
              <w:t>required</w:t>
            </w:r>
            <w:r>
              <w:rPr>
                <w:spacing w:val="-2"/>
                <w:sz w:val="20"/>
              </w:rPr>
              <w:t> </w:t>
            </w:r>
            <w:r>
              <w:rPr>
                <w:sz w:val="20"/>
              </w:rPr>
              <w:t>ports</w:t>
            </w:r>
            <w:r>
              <w:rPr>
                <w:spacing w:val="-2"/>
                <w:sz w:val="20"/>
              </w:rPr>
              <w:t> </w:t>
            </w:r>
            <w:r>
              <w:rPr>
                <w:sz w:val="20"/>
              </w:rPr>
              <w:t>are</w:t>
            </w:r>
            <w:r>
              <w:rPr>
                <w:spacing w:val="-1"/>
                <w:sz w:val="20"/>
              </w:rPr>
              <w:t> </w:t>
            </w:r>
            <w:r>
              <w:rPr>
                <w:spacing w:val="-2"/>
                <w:sz w:val="20"/>
              </w:rPr>
              <w:t>opened</w:t>
            </w:r>
          </w:p>
        </w:tc>
      </w:tr>
      <w:tr>
        <w:trPr>
          <w:trHeight w:val="710" w:hRule="atLeast"/>
        </w:trPr>
        <w:tc>
          <w:tcPr>
            <w:tcW w:w="2742" w:type="dxa"/>
          </w:tcPr>
          <w:p>
            <w:pPr>
              <w:pStyle w:val="TableParagraph"/>
              <w:spacing w:line="288" w:lineRule="auto"/>
              <w:rPr>
                <w:sz w:val="20"/>
              </w:rPr>
            </w:pPr>
            <w:r>
              <w:rPr>
                <w:sz w:val="20"/>
              </w:rPr>
              <w:t>Never</w:t>
            </w:r>
            <w:r>
              <w:rPr>
                <w:spacing w:val="-10"/>
                <w:sz w:val="20"/>
              </w:rPr>
              <w:t> </w:t>
            </w:r>
            <w:r>
              <w:rPr>
                <w:sz w:val="20"/>
              </w:rPr>
              <w:t>trust</w:t>
            </w:r>
            <w:r>
              <w:rPr>
                <w:spacing w:val="-10"/>
                <w:sz w:val="20"/>
              </w:rPr>
              <w:t> </w:t>
            </w:r>
            <w:r>
              <w:rPr>
                <w:sz w:val="20"/>
              </w:rPr>
              <w:t>the</w:t>
            </w:r>
            <w:r>
              <w:rPr>
                <w:spacing w:val="-10"/>
                <w:sz w:val="20"/>
              </w:rPr>
              <w:t> </w:t>
            </w:r>
            <w:r>
              <w:rPr>
                <w:sz w:val="20"/>
              </w:rPr>
              <w:t>network</w:t>
            </w:r>
            <w:r>
              <w:rPr>
                <w:spacing w:val="-10"/>
                <w:sz w:val="20"/>
              </w:rPr>
              <w:t> </w:t>
            </w:r>
            <w:r>
              <w:rPr>
                <w:sz w:val="20"/>
              </w:rPr>
              <w:t>by </w:t>
            </w:r>
            <w:r>
              <w:rPr>
                <w:spacing w:val="-2"/>
                <w:sz w:val="20"/>
              </w:rPr>
              <w:t>default</w:t>
            </w:r>
          </w:p>
        </w:tc>
        <w:tc>
          <w:tcPr>
            <w:tcW w:w="6611" w:type="dxa"/>
          </w:tcPr>
          <w:p>
            <w:pPr>
              <w:pStyle w:val="TableParagraph"/>
              <w:spacing w:line="288" w:lineRule="auto"/>
              <w:rPr>
                <w:sz w:val="20"/>
              </w:rPr>
            </w:pPr>
            <w:r>
              <w:rPr>
                <w:sz w:val="20"/>
              </w:rPr>
              <w:t>Tenant</w:t>
            </w:r>
            <w:r>
              <w:rPr>
                <w:spacing w:val="-4"/>
                <w:sz w:val="20"/>
              </w:rPr>
              <w:t> </w:t>
            </w:r>
            <w:r>
              <w:rPr>
                <w:sz w:val="20"/>
              </w:rPr>
              <w:t>networks</w:t>
            </w:r>
            <w:r>
              <w:rPr>
                <w:spacing w:val="-4"/>
                <w:sz w:val="20"/>
              </w:rPr>
              <w:t> </w:t>
            </w:r>
            <w:r>
              <w:rPr>
                <w:sz w:val="20"/>
              </w:rPr>
              <w:t>can</w:t>
            </w:r>
            <w:r>
              <w:rPr>
                <w:spacing w:val="-4"/>
                <w:sz w:val="20"/>
              </w:rPr>
              <w:t> </w:t>
            </w:r>
            <w:r>
              <w:rPr>
                <w:sz w:val="20"/>
              </w:rPr>
              <w:t>never</w:t>
            </w:r>
            <w:r>
              <w:rPr>
                <w:spacing w:val="-4"/>
                <w:sz w:val="20"/>
              </w:rPr>
              <w:t> </w:t>
            </w:r>
            <w:r>
              <w:rPr>
                <w:sz w:val="20"/>
              </w:rPr>
              <w:t>reach</w:t>
            </w:r>
            <w:r>
              <w:rPr>
                <w:spacing w:val="-4"/>
                <w:sz w:val="20"/>
              </w:rPr>
              <w:t> </w:t>
            </w:r>
            <w:r>
              <w:rPr>
                <w:sz w:val="20"/>
              </w:rPr>
              <w:t>RabbitMQ,</w:t>
            </w:r>
            <w:r>
              <w:rPr>
                <w:spacing w:val="-4"/>
                <w:sz w:val="20"/>
              </w:rPr>
              <w:t> </w:t>
            </w:r>
            <w:r>
              <w:rPr>
                <w:sz w:val="20"/>
              </w:rPr>
              <w:t>MariaDB,</w:t>
            </w:r>
            <w:r>
              <w:rPr>
                <w:spacing w:val="-4"/>
                <w:sz w:val="20"/>
              </w:rPr>
              <w:t> </w:t>
            </w:r>
            <w:r>
              <w:rPr>
                <w:sz w:val="20"/>
              </w:rPr>
              <w:t>or</w:t>
            </w:r>
            <w:r>
              <w:rPr>
                <w:spacing w:val="-4"/>
                <w:sz w:val="20"/>
              </w:rPr>
              <w:t> </w:t>
            </w:r>
            <w:r>
              <w:rPr>
                <w:sz w:val="20"/>
              </w:rPr>
              <w:t>Ceph</w:t>
            </w:r>
            <w:r>
              <w:rPr>
                <w:spacing w:val="-4"/>
                <w:sz w:val="20"/>
              </w:rPr>
              <w:t> </w:t>
            </w:r>
            <w:r>
              <w:rPr>
                <w:sz w:val="20"/>
              </w:rPr>
              <w:t>mon</w:t>
            </w:r>
            <w:r>
              <w:rPr>
                <w:spacing w:val="-4"/>
                <w:sz w:val="20"/>
              </w:rPr>
              <w:t> </w:t>
            </w:r>
            <w:r>
              <w:rPr>
                <w:sz w:val="20"/>
              </w:rPr>
              <w:t>ports, internal does not mean safe</w:t>
            </w:r>
          </w:p>
        </w:tc>
      </w:tr>
      <w:tr>
        <w:trPr>
          <w:trHeight w:val="710" w:hRule="atLeast"/>
        </w:trPr>
        <w:tc>
          <w:tcPr>
            <w:tcW w:w="2742" w:type="dxa"/>
          </w:tcPr>
          <w:p>
            <w:pPr>
              <w:pStyle w:val="TableParagraph"/>
              <w:rPr>
                <w:sz w:val="20"/>
              </w:rPr>
            </w:pPr>
            <w:r>
              <w:rPr>
                <w:sz w:val="20"/>
              </w:rPr>
              <w:t>Assume</w:t>
            </w:r>
            <w:r>
              <w:rPr>
                <w:spacing w:val="-5"/>
                <w:sz w:val="20"/>
              </w:rPr>
              <w:t> </w:t>
            </w:r>
            <w:r>
              <w:rPr>
                <w:spacing w:val="-2"/>
                <w:sz w:val="20"/>
              </w:rPr>
              <w:t>breach</w:t>
            </w:r>
          </w:p>
        </w:tc>
        <w:tc>
          <w:tcPr>
            <w:tcW w:w="6611" w:type="dxa"/>
          </w:tcPr>
          <w:p>
            <w:pPr>
              <w:pStyle w:val="TableParagraph"/>
              <w:spacing w:line="288" w:lineRule="auto"/>
              <w:rPr>
                <w:sz w:val="20"/>
              </w:rPr>
            </w:pPr>
            <w:r>
              <w:rPr>
                <w:sz w:val="20"/>
              </w:rPr>
              <w:t>Network</w:t>
            </w:r>
            <w:r>
              <w:rPr>
                <w:spacing w:val="-4"/>
                <w:sz w:val="20"/>
              </w:rPr>
              <w:t> </w:t>
            </w:r>
            <w:r>
              <w:rPr>
                <w:sz w:val="20"/>
              </w:rPr>
              <w:t>segmentation</w:t>
            </w:r>
            <w:r>
              <w:rPr>
                <w:spacing w:val="-4"/>
                <w:sz w:val="20"/>
              </w:rPr>
              <w:t> </w:t>
            </w:r>
            <w:r>
              <w:rPr>
                <w:sz w:val="20"/>
              </w:rPr>
              <w:t>is</w:t>
            </w:r>
            <w:r>
              <w:rPr>
                <w:spacing w:val="-4"/>
                <w:sz w:val="20"/>
              </w:rPr>
              <w:t> </w:t>
            </w:r>
            <w:r>
              <w:rPr>
                <w:sz w:val="20"/>
              </w:rPr>
              <w:t>designed</w:t>
            </w:r>
            <w:r>
              <w:rPr>
                <w:spacing w:val="-4"/>
                <w:sz w:val="20"/>
              </w:rPr>
              <w:t> </w:t>
            </w:r>
            <w:r>
              <w:rPr>
                <w:sz w:val="20"/>
              </w:rPr>
              <w:t>and</w:t>
            </w:r>
            <w:r>
              <w:rPr>
                <w:spacing w:val="-4"/>
                <w:sz w:val="20"/>
              </w:rPr>
              <w:t> </w:t>
            </w:r>
            <w:r>
              <w:rPr>
                <w:sz w:val="20"/>
              </w:rPr>
              <w:t>tested</w:t>
            </w:r>
            <w:r>
              <w:rPr>
                <w:spacing w:val="-4"/>
                <w:sz w:val="20"/>
              </w:rPr>
              <w:t> </w:t>
            </w:r>
            <w:r>
              <w:rPr>
                <w:sz w:val="20"/>
              </w:rPr>
              <w:t>as</w:t>
            </w:r>
            <w:r>
              <w:rPr>
                <w:spacing w:val="-4"/>
                <w:sz w:val="20"/>
              </w:rPr>
              <w:t> </w:t>
            </w:r>
            <w:r>
              <w:rPr>
                <w:sz w:val="20"/>
              </w:rPr>
              <w:t>if</w:t>
            </w:r>
            <w:r>
              <w:rPr>
                <w:spacing w:val="-4"/>
                <w:sz w:val="20"/>
              </w:rPr>
              <w:t> </w:t>
            </w:r>
            <w:r>
              <w:rPr>
                <w:sz w:val="20"/>
              </w:rPr>
              <w:t>an</w:t>
            </w:r>
            <w:r>
              <w:rPr>
                <w:spacing w:val="-4"/>
                <w:sz w:val="20"/>
              </w:rPr>
              <w:t> </w:t>
            </w:r>
            <w:r>
              <w:rPr>
                <w:sz w:val="20"/>
              </w:rPr>
              <w:t>attacker</w:t>
            </w:r>
            <w:r>
              <w:rPr>
                <w:spacing w:val="-4"/>
                <w:sz w:val="20"/>
              </w:rPr>
              <w:t> </w:t>
            </w:r>
            <w:r>
              <w:rPr>
                <w:sz w:val="20"/>
              </w:rPr>
              <w:t>is</w:t>
            </w:r>
            <w:r>
              <w:rPr>
                <w:spacing w:val="-4"/>
                <w:sz w:val="20"/>
              </w:rPr>
              <w:t> </w:t>
            </w:r>
            <w:r>
              <w:rPr>
                <w:sz w:val="20"/>
              </w:rPr>
              <w:t>already</w:t>
            </w:r>
            <w:r>
              <w:rPr>
                <w:spacing w:val="-4"/>
                <w:sz w:val="20"/>
              </w:rPr>
              <w:t> </w:t>
            </w:r>
            <w:r>
              <w:rPr>
                <w:sz w:val="20"/>
              </w:rPr>
              <w:t>inside one compromised node</w:t>
            </w:r>
          </w:p>
        </w:tc>
      </w:tr>
      <w:tr>
        <w:trPr>
          <w:trHeight w:val="710" w:hRule="atLeast"/>
        </w:trPr>
        <w:tc>
          <w:tcPr>
            <w:tcW w:w="2742" w:type="dxa"/>
          </w:tcPr>
          <w:p>
            <w:pPr>
              <w:pStyle w:val="TableParagraph"/>
              <w:spacing w:line="288" w:lineRule="auto"/>
              <w:rPr>
                <w:sz w:val="20"/>
              </w:rPr>
            </w:pPr>
            <w:r>
              <w:rPr>
                <w:sz w:val="20"/>
              </w:rPr>
              <w:t>Patch</w:t>
            </w:r>
            <w:r>
              <w:rPr>
                <w:spacing w:val="-8"/>
                <w:sz w:val="20"/>
              </w:rPr>
              <w:t> </w:t>
            </w:r>
            <w:r>
              <w:rPr>
                <w:sz w:val="20"/>
              </w:rPr>
              <w:t>on</w:t>
            </w:r>
            <w:r>
              <w:rPr>
                <w:spacing w:val="-8"/>
                <w:sz w:val="20"/>
              </w:rPr>
              <w:t> </w:t>
            </w:r>
            <w:r>
              <w:rPr>
                <w:sz w:val="20"/>
              </w:rPr>
              <w:t>a</w:t>
            </w:r>
            <w:r>
              <w:rPr>
                <w:spacing w:val="-8"/>
                <w:sz w:val="20"/>
              </w:rPr>
              <w:t> </w:t>
            </w:r>
            <w:r>
              <w:rPr>
                <w:sz w:val="20"/>
              </w:rPr>
              <w:t>schedule,</w:t>
            </w:r>
            <w:r>
              <w:rPr>
                <w:spacing w:val="-8"/>
                <w:sz w:val="20"/>
              </w:rPr>
              <w:t> </w:t>
            </w:r>
            <w:r>
              <w:rPr>
                <w:sz w:val="20"/>
              </w:rPr>
              <w:t>not</w:t>
            </w:r>
            <w:r>
              <w:rPr>
                <w:spacing w:val="-8"/>
                <w:sz w:val="20"/>
              </w:rPr>
              <w:t> </w:t>
            </w:r>
            <w:r>
              <w:rPr>
                <w:sz w:val="20"/>
              </w:rPr>
              <w:t>when </w:t>
            </w:r>
            <w:r>
              <w:rPr>
                <w:spacing w:val="-2"/>
                <w:sz w:val="20"/>
              </w:rPr>
              <w:t>remembered</w:t>
            </w:r>
          </w:p>
        </w:tc>
        <w:tc>
          <w:tcPr>
            <w:tcW w:w="6611" w:type="dxa"/>
          </w:tcPr>
          <w:p>
            <w:pPr>
              <w:pStyle w:val="TableParagraph"/>
              <w:spacing w:line="288" w:lineRule="auto"/>
              <w:rPr>
                <w:sz w:val="20"/>
              </w:rPr>
            </w:pPr>
            <w:r>
              <w:rPr>
                <w:sz w:val="20"/>
              </w:rPr>
              <w:t>Every</w:t>
            </w:r>
            <w:r>
              <w:rPr>
                <w:spacing w:val="-4"/>
                <w:sz w:val="20"/>
              </w:rPr>
              <w:t> </w:t>
            </w:r>
            <w:r>
              <w:rPr>
                <w:sz w:val="20"/>
              </w:rPr>
              <w:t>container</w:t>
            </w:r>
            <w:r>
              <w:rPr>
                <w:spacing w:val="-4"/>
                <w:sz w:val="20"/>
              </w:rPr>
              <w:t> </w:t>
            </w:r>
            <w:r>
              <w:rPr>
                <w:sz w:val="20"/>
              </w:rPr>
              <w:t>image</w:t>
            </w:r>
            <w:r>
              <w:rPr>
                <w:spacing w:val="-4"/>
                <w:sz w:val="20"/>
              </w:rPr>
              <w:t> </w:t>
            </w:r>
            <w:r>
              <w:rPr>
                <w:sz w:val="20"/>
              </w:rPr>
              <w:t>is</w:t>
            </w:r>
            <w:r>
              <w:rPr>
                <w:spacing w:val="-4"/>
                <w:sz w:val="20"/>
              </w:rPr>
              <w:t> </w:t>
            </w:r>
            <w:r>
              <w:rPr>
                <w:sz w:val="20"/>
              </w:rPr>
              <w:t>scanned</w:t>
            </w:r>
            <w:r>
              <w:rPr>
                <w:spacing w:val="-4"/>
                <w:sz w:val="20"/>
              </w:rPr>
              <w:t> </w:t>
            </w:r>
            <w:r>
              <w:rPr>
                <w:sz w:val="20"/>
              </w:rPr>
              <w:t>with</w:t>
            </w:r>
            <w:r>
              <w:rPr>
                <w:spacing w:val="-4"/>
                <w:sz w:val="20"/>
              </w:rPr>
              <w:t> </w:t>
            </w:r>
            <w:r>
              <w:rPr>
                <w:sz w:val="20"/>
              </w:rPr>
              <w:t>Trivy</w:t>
            </w:r>
            <w:r>
              <w:rPr>
                <w:spacing w:val="-4"/>
                <w:sz w:val="20"/>
              </w:rPr>
              <w:t> </w:t>
            </w:r>
            <w:r>
              <w:rPr>
                <w:sz w:val="20"/>
              </w:rPr>
              <w:t>and</w:t>
            </w:r>
            <w:r>
              <w:rPr>
                <w:spacing w:val="-4"/>
                <w:sz w:val="20"/>
              </w:rPr>
              <w:t> </w:t>
            </w:r>
            <w:r>
              <w:rPr>
                <w:sz w:val="20"/>
              </w:rPr>
              <w:t>kolla-ansible</w:t>
            </w:r>
            <w:r>
              <w:rPr>
                <w:spacing w:val="-4"/>
                <w:sz w:val="20"/>
              </w:rPr>
              <w:t> </w:t>
            </w:r>
            <w:r>
              <w:rPr>
                <w:sz w:val="20"/>
              </w:rPr>
              <w:t>pull</w:t>
            </w:r>
            <w:r>
              <w:rPr>
                <w:spacing w:val="-4"/>
                <w:sz w:val="20"/>
              </w:rPr>
              <w:t> </w:t>
            </w:r>
            <w:r>
              <w:rPr>
                <w:sz w:val="20"/>
              </w:rPr>
              <w:t>is</w:t>
            </w:r>
            <w:r>
              <w:rPr>
                <w:spacing w:val="-4"/>
                <w:sz w:val="20"/>
              </w:rPr>
              <w:t> </w:t>
            </w:r>
            <w:r>
              <w:rPr>
                <w:sz w:val="20"/>
              </w:rPr>
              <w:t>run</w:t>
            </w:r>
            <w:r>
              <w:rPr>
                <w:spacing w:val="-4"/>
                <w:sz w:val="20"/>
              </w:rPr>
              <w:t> </w:t>
            </w:r>
            <w:r>
              <w:rPr>
                <w:sz w:val="20"/>
              </w:rPr>
              <w:t>on</w:t>
            </w:r>
            <w:r>
              <w:rPr>
                <w:spacing w:val="-4"/>
                <w:sz w:val="20"/>
              </w:rPr>
              <w:t> </w:t>
            </w:r>
            <w:r>
              <w:rPr>
                <w:sz w:val="20"/>
              </w:rPr>
              <w:t>a fixed cadence</w:t>
            </w:r>
          </w:p>
        </w:tc>
      </w:tr>
      <w:tr>
        <w:trPr>
          <w:trHeight w:val="710" w:hRule="atLeast"/>
        </w:trPr>
        <w:tc>
          <w:tcPr>
            <w:tcW w:w="2742" w:type="dxa"/>
          </w:tcPr>
          <w:p>
            <w:pPr>
              <w:pStyle w:val="TableParagraph"/>
              <w:rPr>
                <w:sz w:val="20"/>
              </w:rPr>
            </w:pPr>
            <w:r>
              <w:rPr>
                <w:sz w:val="20"/>
              </w:rPr>
              <w:t>Every</w:t>
            </w:r>
            <w:r>
              <w:rPr>
                <w:spacing w:val="-3"/>
                <w:sz w:val="20"/>
              </w:rPr>
              <w:t> </w:t>
            </w:r>
            <w:r>
              <w:rPr>
                <w:sz w:val="20"/>
              </w:rPr>
              <w:t>secret</w:t>
            </w:r>
            <w:r>
              <w:rPr>
                <w:spacing w:val="-2"/>
                <w:sz w:val="20"/>
              </w:rPr>
              <w:t> rotates</w:t>
            </w:r>
          </w:p>
        </w:tc>
        <w:tc>
          <w:tcPr>
            <w:tcW w:w="6611" w:type="dxa"/>
          </w:tcPr>
          <w:p>
            <w:pPr>
              <w:pStyle w:val="TableParagraph"/>
              <w:spacing w:line="288" w:lineRule="auto"/>
              <w:rPr>
                <w:sz w:val="20"/>
              </w:rPr>
            </w:pPr>
            <w:r>
              <w:rPr>
                <w:sz w:val="20"/>
              </w:rPr>
              <w:t>passwords.yml</w:t>
            </w:r>
            <w:r>
              <w:rPr>
                <w:spacing w:val="-5"/>
                <w:sz w:val="20"/>
              </w:rPr>
              <w:t> </w:t>
            </w:r>
            <w:r>
              <w:rPr>
                <w:sz w:val="20"/>
              </w:rPr>
              <w:t>is</w:t>
            </w:r>
            <w:r>
              <w:rPr>
                <w:spacing w:val="-5"/>
                <w:sz w:val="20"/>
              </w:rPr>
              <w:t> </w:t>
            </w:r>
            <w:r>
              <w:rPr>
                <w:sz w:val="20"/>
              </w:rPr>
              <w:t>never</w:t>
            </w:r>
            <w:r>
              <w:rPr>
                <w:spacing w:val="-5"/>
                <w:sz w:val="20"/>
              </w:rPr>
              <w:t> </w:t>
            </w:r>
            <w:r>
              <w:rPr>
                <w:sz w:val="20"/>
              </w:rPr>
              <w:t>left</w:t>
            </w:r>
            <w:r>
              <w:rPr>
                <w:spacing w:val="-5"/>
                <w:sz w:val="20"/>
              </w:rPr>
              <w:t> </w:t>
            </w:r>
            <w:r>
              <w:rPr>
                <w:sz w:val="20"/>
              </w:rPr>
              <w:t>plaintext;</w:t>
            </w:r>
            <w:r>
              <w:rPr>
                <w:spacing w:val="-5"/>
                <w:sz w:val="20"/>
              </w:rPr>
              <w:t> </w:t>
            </w:r>
            <w:r>
              <w:rPr>
                <w:sz w:val="20"/>
              </w:rPr>
              <w:t>service</w:t>
            </w:r>
            <w:r>
              <w:rPr>
                <w:spacing w:val="-5"/>
                <w:sz w:val="20"/>
              </w:rPr>
              <w:t> </w:t>
            </w:r>
            <w:r>
              <w:rPr>
                <w:sz w:val="20"/>
              </w:rPr>
              <w:t>credentials</w:t>
            </w:r>
            <w:r>
              <w:rPr>
                <w:spacing w:val="-5"/>
                <w:sz w:val="20"/>
              </w:rPr>
              <w:t> </w:t>
            </w:r>
            <w:r>
              <w:rPr>
                <w:sz w:val="20"/>
              </w:rPr>
              <w:t>rotate</w:t>
            </w:r>
            <w:r>
              <w:rPr>
                <w:spacing w:val="-5"/>
                <w:sz w:val="20"/>
              </w:rPr>
              <w:t> </w:t>
            </w:r>
            <w:r>
              <w:rPr>
                <w:sz w:val="20"/>
              </w:rPr>
              <w:t>on</w:t>
            </w:r>
            <w:r>
              <w:rPr>
                <w:spacing w:val="-5"/>
                <w:sz w:val="20"/>
              </w:rPr>
              <w:t> </w:t>
            </w:r>
            <w:r>
              <w:rPr>
                <w:sz w:val="20"/>
              </w:rPr>
              <w:t>a</w:t>
            </w:r>
            <w:r>
              <w:rPr>
                <w:spacing w:val="-5"/>
                <w:sz w:val="20"/>
              </w:rPr>
              <w:t> </w:t>
            </w:r>
            <w:r>
              <w:rPr>
                <w:sz w:val="20"/>
              </w:rPr>
              <w:t>defined </w:t>
            </w:r>
            <w:r>
              <w:rPr>
                <w:spacing w:val="-2"/>
                <w:sz w:val="20"/>
              </w:rPr>
              <w:t>schedule</w:t>
            </w:r>
          </w:p>
        </w:tc>
      </w:tr>
    </w:tbl>
    <w:p>
      <w:pPr>
        <w:pStyle w:val="TableParagraph"/>
        <w:spacing w:after="0" w:line="288" w:lineRule="auto"/>
        <w:rPr>
          <w:sz w:val="20"/>
        </w:rPr>
        <w:sectPr>
          <w:pgSz w:w="12240" w:h="15840"/>
          <w:pgMar w:top="1420" w:bottom="1607" w:left="1080" w:right="1080"/>
        </w:sect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2"/>
        <w:gridCol w:w="6611"/>
      </w:tblGrid>
      <w:tr>
        <w:trPr>
          <w:trHeight w:val="434" w:hRule="atLeast"/>
        </w:trPr>
        <w:tc>
          <w:tcPr>
            <w:tcW w:w="2742" w:type="dxa"/>
          </w:tcPr>
          <w:p>
            <w:pPr>
              <w:pStyle w:val="TableParagraph"/>
              <w:rPr>
                <w:b/>
                <w:sz w:val="20"/>
              </w:rPr>
            </w:pPr>
            <w:r>
              <w:rPr>
                <w:b/>
                <w:sz w:val="20"/>
              </w:rPr>
              <w:t>Thumb</w:t>
            </w:r>
            <w:r>
              <w:rPr>
                <w:b/>
                <w:spacing w:val="-4"/>
                <w:sz w:val="20"/>
              </w:rPr>
              <w:t> rule</w:t>
            </w:r>
          </w:p>
        </w:tc>
        <w:tc>
          <w:tcPr>
            <w:tcW w:w="6611" w:type="dxa"/>
          </w:tcPr>
          <w:p>
            <w:pPr>
              <w:pStyle w:val="TableParagraph"/>
              <w:rPr>
                <w:b/>
                <w:sz w:val="20"/>
              </w:rPr>
            </w:pPr>
            <w:r>
              <w:rPr>
                <w:b/>
                <w:spacing w:val="-2"/>
                <w:sz w:val="20"/>
              </w:rPr>
              <w:t>OpenStack-specific</w:t>
            </w:r>
            <w:r>
              <w:rPr>
                <w:b/>
                <w:spacing w:val="19"/>
                <w:sz w:val="20"/>
              </w:rPr>
              <w:t> </w:t>
            </w:r>
            <w:r>
              <w:rPr>
                <w:b/>
                <w:spacing w:val="-2"/>
                <w:sz w:val="20"/>
              </w:rPr>
              <w:t>application</w:t>
            </w:r>
          </w:p>
        </w:tc>
      </w:tr>
      <w:tr>
        <w:trPr>
          <w:trHeight w:val="710" w:hRule="atLeast"/>
        </w:trPr>
        <w:tc>
          <w:tcPr>
            <w:tcW w:w="2742" w:type="dxa"/>
          </w:tcPr>
          <w:p>
            <w:pPr>
              <w:pStyle w:val="TableParagraph"/>
              <w:spacing w:line="288" w:lineRule="auto"/>
              <w:ind w:right="91"/>
              <w:rPr>
                <w:sz w:val="20"/>
              </w:rPr>
            </w:pPr>
            <w:r>
              <w:rPr>
                <w:sz w:val="20"/>
              </w:rPr>
              <w:t>Log</w:t>
            </w:r>
            <w:r>
              <w:rPr>
                <w:spacing w:val="-10"/>
                <w:sz w:val="20"/>
              </w:rPr>
              <w:t> </w:t>
            </w:r>
            <w:r>
              <w:rPr>
                <w:sz w:val="20"/>
              </w:rPr>
              <w:t>everything,</w:t>
            </w:r>
            <w:r>
              <w:rPr>
                <w:spacing w:val="-10"/>
                <w:sz w:val="20"/>
              </w:rPr>
              <w:t> </w:t>
            </w:r>
            <w:r>
              <w:rPr>
                <w:sz w:val="20"/>
              </w:rPr>
              <w:t>but</w:t>
            </w:r>
            <w:r>
              <w:rPr>
                <w:spacing w:val="-10"/>
                <w:sz w:val="20"/>
              </w:rPr>
              <w:t> </w:t>
            </w:r>
            <w:r>
              <w:rPr>
                <w:sz w:val="20"/>
              </w:rPr>
              <w:t>alert</w:t>
            </w:r>
            <w:r>
              <w:rPr>
                <w:spacing w:val="-10"/>
                <w:sz w:val="20"/>
              </w:rPr>
              <w:t> </w:t>
            </w:r>
            <w:r>
              <w:rPr>
                <w:sz w:val="20"/>
              </w:rPr>
              <w:t>only on what matters</w:t>
            </w:r>
          </w:p>
        </w:tc>
        <w:tc>
          <w:tcPr>
            <w:tcW w:w="6611" w:type="dxa"/>
          </w:tcPr>
          <w:p>
            <w:pPr>
              <w:pStyle w:val="TableParagraph"/>
              <w:rPr>
                <w:sz w:val="20"/>
              </w:rPr>
            </w:pPr>
            <w:r>
              <w:rPr>
                <w:sz w:val="20"/>
              </w:rPr>
              <w:t>CADF</w:t>
            </w:r>
            <w:r>
              <w:rPr>
                <w:spacing w:val="-3"/>
                <w:sz w:val="20"/>
              </w:rPr>
              <w:t> </w:t>
            </w:r>
            <w:r>
              <w:rPr>
                <w:sz w:val="20"/>
              </w:rPr>
              <w:t>audit</w:t>
            </w:r>
            <w:r>
              <w:rPr>
                <w:spacing w:val="-2"/>
                <w:sz w:val="20"/>
              </w:rPr>
              <w:t> </w:t>
            </w:r>
            <w:r>
              <w:rPr>
                <w:sz w:val="20"/>
              </w:rPr>
              <w:t>logs</w:t>
            </w:r>
            <w:r>
              <w:rPr>
                <w:spacing w:val="-2"/>
                <w:sz w:val="20"/>
              </w:rPr>
              <w:t> </w:t>
            </w:r>
            <w:r>
              <w:rPr>
                <w:sz w:val="20"/>
              </w:rPr>
              <w:t>are</w:t>
            </w:r>
            <w:r>
              <w:rPr>
                <w:spacing w:val="-2"/>
                <w:sz w:val="20"/>
              </w:rPr>
              <w:t> </w:t>
            </w:r>
            <w:r>
              <w:rPr>
                <w:sz w:val="20"/>
              </w:rPr>
              <w:t>always</w:t>
            </w:r>
            <w:r>
              <w:rPr>
                <w:spacing w:val="-3"/>
                <w:sz w:val="20"/>
              </w:rPr>
              <w:t> </w:t>
            </w:r>
            <w:r>
              <w:rPr>
                <w:sz w:val="20"/>
              </w:rPr>
              <w:t>on,</w:t>
            </w:r>
            <w:r>
              <w:rPr>
                <w:spacing w:val="-2"/>
                <w:sz w:val="20"/>
              </w:rPr>
              <w:t> </w:t>
            </w:r>
            <w:r>
              <w:rPr>
                <w:sz w:val="20"/>
              </w:rPr>
              <w:t>but</w:t>
            </w:r>
            <w:r>
              <w:rPr>
                <w:spacing w:val="-2"/>
                <w:sz w:val="20"/>
              </w:rPr>
              <w:t> </w:t>
            </w:r>
            <w:r>
              <w:rPr>
                <w:sz w:val="20"/>
              </w:rPr>
              <w:t>alert</w:t>
            </w:r>
            <w:r>
              <w:rPr>
                <w:spacing w:val="-2"/>
                <w:sz w:val="20"/>
              </w:rPr>
              <w:t> </w:t>
            </w:r>
            <w:r>
              <w:rPr>
                <w:sz w:val="20"/>
              </w:rPr>
              <w:t>rules</w:t>
            </w:r>
            <w:r>
              <w:rPr>
                <w:spacing w:val="-3"/>
                <w:sz w:val="20"/>
              </w:rPr>
              <w:t> </w:t>
            </w:r>
            <w:r>
              <w:rPr>
                <w:sz w:val="20"/>
              </w:rPr>
              <w:t>are</w:t>
            </w:r>
            <w:r>
              <w:rPr>
                <w:spacing w:val="-2"/>
                <w:sz w:val="20"/>
              </w:rPr>
              <w:t> </w:t>
            </w:r>
            <w:r>
              <w:rPr>
                <w:sz w:val="20"/>
              </w:rPr>
              <w:t>tuned</w:t>
            </w:r>
            <w:r>
              <w:rPr>
                <w:spacing w:val="-2"/>
                <w:sz w:val="20"/>
              </w:rPr>
              <w:t> </w:t>
            </w:r>
            <w:r>
              <w:rPr>
                <w:sz w:val="20"/>
              </w:rPr>
              <w:t>to</w:t>
            </w:r>
            <w:r>
              <w:rPr>
                <w:spacing w:val="-2"/>
                <w:sz w:val="20"/>
              </w:rPr>
              <w:t> </w:t>
            </w:r>
            <w:r>
              <w:rPr>
                <w:sz w:val="20"/>
              </w:rPr>
              <w:t>avoid</w:t>
            </w:r>
            <w:r>
              <w:rPr>
                <w:spacing w:val="-2"/>
                <w:sz w:val="20"/>
              </w:rPr>
              <w:t> noise</w:t>
            </w:r>
          </w:p>
        </w:tc>
      </w:tr>
    </w:tbl>
    <w:p>
      <w:pPr>
        <w:pStyle w:val="Heading2"/>
        <w:numPr>
          <w:ilvl w:val="1"/>
          <w:numId w:val="1"/>
        </w:numPr>
        <w:tabs>
          <w:tab w:pos="720" w:val="left" w:leader="none"/>
        </w:tabs>
        <w:spacing w:line="240" w:lineRule="auto" w:before="133" w:after="0"/>
        <w:ind w:left="720" w:right="0" w:hanging="360"/>
        <w:jc w:val="left"/>
      </w:pPr>
      <w:bookmarkStart w:name="2.4 Methodologies " w:id="5"/>
      <w:bookmarkEnd w:id="5"/>
      <w:r>
        <w:rPr>
          <w:b w:val="0"/>
        </w:rPr>
      </w:r>
      <w:r>
        <w:rPr>
          <w:spacing w:val="-2"/>
        </w:rPr>
        <w:t>Methodologies</w:t>
      </w:r>
    </w:p>
    <w:p>
      <w:pPr>
        <w:pStyle w:val="BodyText"/>
        <w:spacing w:before="104"/>
        <w:ind w:right="399"/>
      </w:pPr>
      <w:r>
        <w:rPr/>
        <w:t>A methodology is the underlying way of thinking applied while every control above gets implemented, it is what tells someone how to reason about a brand-new situation that is not already</w:t>
      </w:r>
      <w:r>
        <w:rPr>
          <w:spacing w:val="-4"/>
        </w:rPr>
        <w:t> </w:t>
      </w:r>
      <w:r>
        <w:rPr/>
        <w:t>written</w:t>
      </w:r>
      <w:r>
        <w:rPr>
          <w:spacing w:val="-4"/>
        </w:rPr>
        <w:t> </w:t>
      </w:r>
      <w:r>
        <w:rPr/>
        <w:t>down</w:t>
      </w:r>
      <w:r>
        <w:rPr>
          <w:spacing w:val="-4"/>
        </w:rPr>
        <w:t> </w:t>
      </w:r>
      <w:r>
        <w:rPr/>
        <w:t>anywhere</w:t>
      </w:r>
      <w:r>
        <w:rPr>
          <w:spacing w:val="-4"/>
        </w:rPr>
        <w:t> </w:t>
      </w:r>
      <w:r>
        <w:rPr/>
        <w:t>in</w:t>
      </w:r>
      <w:r>
        <w:rPr>
          <w:spacing w:val="-4"/>
        </w:rPr>
        <w:t> </w:t>
      </w:r>
      <w:r>
        <w:rPr/>
        <w:t>this</w:t>
      </w:r>
      <w:r>
        <w:rPr>
          <w:spacing w:val="-4"/>
        </w:rPr>
        <w:t> </w:t>
      </w:r>
      <w:r>
        <w:rPr/>
        <w:t>document.</w:t>
      </w:r>
      <w:r>
        <w:rPr>
          <w:spacing w:val="-4"/>
        </w:rPr>
        <w:t> </w:t>
      </w:r>
      <w:r>
        <w:rPr/>
        <w:t>Controls</w:t>
      </w:r>
      <w:r>
        <w:rPr>
          <w:spacing w:val="-4"/>
        </w:rPr>
        <w:t> </w:t>
      </w:r>
      <w:r>
        <w:rPr/>
        <w:t>without</w:t>
      </w:r>
      <w:r>
        <w:rPr>
          <w:spacing w:val="-4"/>
        </w:rPr>
        <w:t> </w:t>
      </w:r>
      <w:r>
        <w:rPr/>
        <w:t>a</w:t>
      </w:r>
      <w:r>
        <w:rPr>
          <w:spacing w:val="-4"/>
        </w:rPr>
        <w:t> </w:t>
      </w:r>
      <w:r>
        <w:rPr/>
        <w:t>shared</w:t>
      </w:r>
      <w:r>
        <w:rPr>
          <w:spacing w:val="-4"/>
        </w:rPr>
        <w:t> </w:t>
      </w:r>
      <w:r>
        <w:rPr/>
        <w:t>methodology</w:t>
      </w:r>
      <w:r>
        <w:rPr>
          <w:spacing w:val="-4"/>
        </w:rPr>
        <w:t> </w:t>
      </w:r>
      <w:r>
        <w:rPr/>
        <w:t>behind them tend to turn into an unrelated pile of settings; the methodology is the thread that keeps every new decision consistent with the ones that came before it.</w:t>
      </w:r>
    </w:p>
    <w:p>
      <w:pPr>
        <w:pStyle w:val="BodyText"/>
        <w:ind w:right="475"/>
      </w:pPr>
      <w:r>
        <w:rPr/>
        <w:t>Three</w:t>
      </w:r>
      <w:r>
        <w:rPr>
          <w:spacing w:val="-5"/>
        </w:rPr>
        <w:t> </w:t>
      </w:r>
      <w:r>
        <w:rPr/>
        <w:t>methodologies</w:t>
      </w:r>
      <w:r>
        <w:rPr>
          <w:spacing w:val="-5"/>
        </w:rPr>
        <w:t> </w:t>
      </w:r>
      <w:r>
        <w:rPr/>
        <w:t>are</w:t>
      </w:r>
      <w:r>
        <w:rPr>
          <w:spacing w:val="-5"/>
        </w:rPr>
        <w:t> </w:t>
      </w:r>
      <w:r>
        <w:rPr/>
        <w:t>actively</w:t>
      </w:r>
      <w:r>
        <w:rPr>
          <w:spacing w:val="-5"/>
        </w:rPr>
        <w:t> </w:t>
      </w:r>
      <w:r>
        <w:rPr/>
        <w:t>applied</w:t>
      </w:r>
      <w:r>
        <w:rPr>
          <w:spacing w:val="-5"/>
        </w:rPr>
        <w:t> </w:t>
      </w:r>
      <w:r>
        <w:rPr/>
        <w:t>throughout</w:t>
      </w:r>
      <w:r>
        <w:rPr>
          <w:spacing w:val="-5"/>
        </w:rPr>
        <w:t> </w:t>
      </w:r>
      <w:r>
        <w:rPr/>
        <w:t>this</w:t>
      </w:r>
      <w:r>
        <w:rPr>
          <w:spacing w:val="-5"/>
        </w:rPr>
        <w:t> </w:t>
      </w:r>
      <w:r>
        <w:rPr/>
        <w:t>deployment's</w:t>
      </w:r>
      <w:r>
        <w:rPr>
          <w:spacing w:val="-5"/>
        </w:rPr>
        <w:t> </w:t>
      </w:r>
      <w:r>
        <w:rPr/>
        <w:t>design:</w:t>
      </w:r>
      <w:r>
        <w:rPr>
          <w:spacing w:val="-5"/>
        </w:rPr>
        <w:t> </w:t>
      </w:r>
      <w:r>
        <w:rPr/>
        <w:t>Defense</w:t>
      </w:r>
      <w:r>
        <w:rPr>
          <w:spacing w:val="-5"/>
        </w:rPr>
        <w:t> </w:t>
      </w:r>
      <w:r>
        <w:rPr/>
        <w:t>in Depth, Zero Trust, and Threat Modeling, each addressing a different failure mode.</w:t>
      </w:r>
    </w:p>
    <w:p>
      <w:pPr>
        <w:pStyle w:val="BodyText"/>
        <w:spacing w:before="4" w:after="1"/>
        <w:ind w:left="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62"/>
        <w:gridCol w:w="7293"/>
      </w:tblGrid>
      <w:tr>
        <w:trPr>
          <w:trHeight w:val="434" w:hRule="atLeast"/>
        </w:trPr>
        <w:tc>
          <w:tcPr>
            <w:tcW w:w="2062" w:type="dxa"/>
          </w:tcPr>
          <w:p>
            <w:pPr>
              <w:pStyle w:val="TableParagraph"/>
              <w:rPr>
                <w:b/>
                <w:sz w:val="20"/>
              </w:rPr>
            </w:pPr>
            <w:r>
              <w:rPr>
                <w:b/>
                <w:spacing w:val="-2"/>
                <w:sz w:val="20"/>
              </w:rPr>
              <w:t>Methodology</w:t>
            </w:r>
          </w:p>
        </w:tc>
        <w:tc>
          <w:tcPr>
            <w:tcW w:w="7293" w:type="dxa"/>
          </w:tcPr>
          <w:p>
            <w:pPr>
              <w:pStyle w:val="TableParagraph"/>
              <w:ind w:left="101"/>
              <w:rPr>
                <w:b/>
                <w:sz w:val="20"/>
              </w:rPr>
            </w:pPr>
            <w:r>
              <w:rPr>
                <w:b/>
                <w:spacing w:val="-2"/>
                <w:sz w:val="20"/>
              </w:rPr>
              <w:t>OpenStack-specific</w:t>
            </w:r>
            <w:r>
              <w:rPr>
                <w:b/>
                <w:spacing w:val="19"/>
                <w:sz w:val="20"/>
              </w:rPr>
              <w:t> </w:t>
            </w:r>
            <w:r>
              <w:rPr>
                <w:b/>
                <w:spacing w:val="-2"/>
                <w:sz w:val="20"/>
              </w:rPr>
              <w:t>application</w:t>
            </w:r>
          </w:p>
        </w:tc>
      </w:tr>
      <w:tr>
        <w:trPr>
          <w:trHeight w:val="710" w:hRule="atLeast"/>
        </w:trPr>
        <w:tc>
          <w:tcPr>
            <w:tcW w:w="2062" w:type="dxa"/>
          </w:tcPr>
          <w:p>
            <w:pPr>
              <w:pStyle w:val="TableParagraph"/>
              <w:rPr>
                <w:sz w:val="20"/>
              </w:rPr>
            </w:pPr>
            <w:r>
              <w:rPr>
                <w:sz w:val="20"/>
              </w:rPr>
              <w:t>Defense</w:t>
            </w:r>
            <w:r>
              <w:rPr>
                <w:spacing w:val="-3"/>
                <w:sz w:val="20"/>
              </w:rPr>
              <w:t> </w:t>
            </w:r>
            <w:r>
              <w:rPr>
                <w:sz w:val="20"/>
              </w:rPr>
              <w:t>in</w:t>
            </w:r>
            <w:r>
              <w:rPr>
                <w:spacing w:val="-3"/>
                <w:sz w:val="20"/>
              </w:rPr>
              <w:t> </w:t>
            </w:r>
            <w:r>
              <w:rPr>
                <w:spacing w:val="-2"/>
                <w:sz w:val="20"/>
              </w:rPr>
              <w:t>Depth</w:t>
            </w:r>
          </w:p>
        </w:tc>
        <w:tc>
          <w:tcPr>
            <w:tcW w:w="7293" w:type="dxa"/>
          </w:tcPr>
          <w:p>
            <w:pPr>
              <w:pStyle w:val="TableParagraph"/>
              <w:spacing w:line="288" w:lineRule="auto"/>
              <w:ind w:left="101"/>
              <w:rPr>
                <w:sz w:val="20"/>
              </w:rPr>
            </w:pPr>
            <w:r>
              <w:rPr>
                <w:sz w:val="20"/>
              </w:rPr>
              <w:t>No</w:t>
            </w:r>
            <w:r>
              <w:rPr>
                <w:spacing w:val="-4"/>
                <w:sz w:val="20"/>
              </w:rPr>
              <w:t> </w:t>
            </w:r>
            <w:r>
              <w:rPr>
                <w:sz w:val="20"/>
              </w:rPr>
              <w:t>single</w:t>
            </w:r>
            <w:r>
              <w:rPr>
                <w:spacing w:val="-4"/>
                <w:sz w:val="20"/>
              </w:rPr>
              <w:t> </w:t>
            </w:r>
            <w:r>
              <w:rPr>
                <w:sz w:val="20"/>
              </w:rPr>
              <w:t>control</w:t>
            </w:r>
            <w:r>
              <w:rPr>
                <w:spacing w:val="-4"/>
                <w:sz w:val="20"/>
              </w:rPr>
              <w:t> </w:t>
            </w:r>
            <w:r>
              <w:rPr>
                <w:sz w:val="20"/>
              </w:rPr>
              <w:t>is</w:t>
            </w:r>
            <w:r>
              <w:rPr>
                <w:spacing w:val="-4"/>
                <w:sz w:val="20"/>
              </w:rPr>
              <w:t> </w:t>
            </w:r>
            <w:r>
              <w:rPr>
                <w:sz w:val="20"/>
              </w:rPr>
              <w:t>trusted</w:t>
            </w:r>
            <w:r>
              <w:rPr>
                <w:spacing w:val="-4"/>
                <w:sz w:val="20"/>
              </w:rPr>
              <w:t> </w:t>
            </w:r>
            <w:r>
              <w:rPr>
                <w:sz w:val="20"/>
              </w:rPr>
              <w:t>alone,</w:t>
            </w:r>
            <w:r>
              <w:rPr>
                <w:spacing w:val="-4"/>
                <w:sz w:val="20"/>
              </w:rPr>
              <w:t> </w:t>
            </w:r>
            <w:r>
              <w:rPr>
                <w:sz w:val="20"/>
              </w:rPr>
              <w:t>network</w:t>
            </w:r>
            <w:r>
              <w:rPr>
                <w:spacing w:val="-4"/>
                <w:sz w:val="20"/>
              </w:rPr>
              <w:t> </w:t>
            </w:r>
            <w:r>
              <w:rPr>
                <w:sz w:val="20"/>
              </w:rPr>
              <w:t>segmentation,</w:t>
            </w:r>
            <w:r>
              <w:rPr>
                <w:spacing w:val="-4"/>
                <w:sz w:val="20"/>
              </w:rPr>
              <w:t> </w:t>
            </w:r>
            <w:r>
              <w:rPr>
                <w:sz w:val="20"/>
              </w:rPr>
              <w:t>Keystone</w:t>
            </w:r>
            <w:r>
              <w:rPr>
                <w:spacing w:val="-4"/>
                <w:sz w:val="20"/>
              </w:rPr>
              <w:t> </w:t>
            </w:r>
            <w:r>
              <w:rPr>
                <w:sz w:val="20"/>
              </w:rPr>
              <w:t>RBAC,</w:t>
            </w:r>
            <w:r>
              <w:rPr>
                <w:spacing w:val="-4"/>
                <w:sz w:val="20"/>
              </w:rPr>
              <w:t> </w:t>
            </w:r>
            <w:r>
              <w:rPr>
                <w:sz w:val="20"/>
              </w:rPr>
              <w:t>and</w:t>
            </w:r>
            <w:r>
              <w:rPr>
                <w:spacing w:val="-4"/>
                <w:sz w:val="20"/>
              </w:rPr>
              <w:t> </w:t>
            </w:r>
            <w:r>
              <w:rPr>
                <w:sz w:val="20"/>
              </w:rPr>
              <w:t>TLS</w:t>
            </w:r>
            <w:r>
              <w:rPr>
                <w:spacing w:val="-4"/>
                <w:sz w:val="20"/>
              </w:rPr>
              <w:t> </w:t>
            </w:r>
            <w:r>
              <w:rPr>
                <w:sz w:val="20"/>
              </w:rPr>
              <w:t>all exist independently, so one failure does not cascade into full compromise</w:t>
            </w:r>
          </w:p>
        </w:tc>
      </w:tr>
      <w:tr>
        <w:trPr>
          <w:trHeight w:val="710" w:hRule="atLeast"/>
        </w:trPr>
        <w:tc>
          <w:tcPr>
            <w:tcW w:w="2062" w:type="dxa"/>
          </w:tcPr>
          <w:p>
            <w:pPr>
              <w:pStyle w:val="TableParagraph"/>
              <w:rPr>
                <w:sz w:val="20"/>
              </w:rPr>
            </w:pPr>
            <w:r>
              <w:rPr>
                <w:sz w:val="20"/>
              </w:rPr>
              <w:t>Zero </w:t>
            </w:r>
            <w:r>
              <w:rPr>
                <w:spacing w:val="-2"/>
                <w:sz w:val="20"/>
              </w:rPr>
              <w:t>Trust</w:t>
            </w:r>
          </w:p>
        </w:tc>
        <w:tc>
          <w:tcPr>
            <w:tcW w:w="7293" w:type="dxa"/>
          </w:tcPr>
          <w:p>
            <w:pPr>
              <w:pStyle w:val="TableParagraph"/>
              <w:spacing w:line="288" w:lineRule="auto"/>
              <w:ind w:left="101"/>
              <w:rPr>
                <w:sz w:val="20"/>
              </w:rPr>
            </w:pPr>
            <w:r>
              <w:rPr>
                <w:sz w:val="20"/>
              </w:rPr>
              <w:t>Internal</w:t>
            </w:r>
            <w:r>
              <w:rPr>
                <w:spacing w:val="-5"/>
                <w:sz w:val="20"/>
              </w:rPr>
              <w:t> </w:t>
            </w:r>
            <w:r>
              <w:rPr>
                <w:sz w:val="20"/>
              </w:rPr>
              <w:t>service-to-service</w:t>
            </w:r>
            <w:r>
              <w:rPr>
                <w:spacing w:val="-5"/>
                <w:sz w:val="20"/>
              </w:rPr>
              <w:t> </w:t>
            </w:r>
            <w:r>
              <w:rPr>
                <w:sz w:val="20"/>
              </w:rPr>
              <w:t>traffic,</w:t>
            </w:r>
            <w:r>
              <w:rPr>
                <w:spacing w:val="-5"/>
                <w:sz w:val="20"/>
              </w:rPr>
              <w:t> </w:t>
            </w:r>
            <w:r>
              <w:rPr>
                <w:sz w:val="20"/>
              </w:rPr>
              <w:t>such</w:t>
            </w:r>
            <w:r>
              <w:rPr>
                <w:spacing w:val="-5"/>
                <w:sz w:val="20"/>
              </w:rPr>
              <w:t> </w:t>
            </w:r>
            <w:r>
              <w:rPr>
                <w:sz w:val="20"/>
              </w:rPr>
              <w:t>as</w:t>
            </w:r>
            <w:r>
              <w:rPr>
                <w:spacing w:val="-5"/>
                <w:sz w:val="20"/>
              </w:rPr>
              <w:t> </w:t>
            </w:r>
            <w:r>
              <w:rPr>
                <w:sz w:val="20"/>
              </w:rPr>
              <w:t>Nova</w:t>
            </w:r>
            <w:r>
              <w:rPr>
                <w:spacing w:val="-5"/>
                <w:sz w:val="20"/>
              </w:rPr>
              <w:t> </w:t>
            </w:r>
            <w:r>
              <w:rPr>
                <w:sz w:val="20"/>
              </w:rPr>
              <w:t>calling</w:t>
            </w:r>
            <w:r>
              <w:rPr>
                <w:spacing w:val="-5"/>
                <w:sz w:val="20"/>
              </w:rPr>
              <w:t> </w:t>
            </w:r>
            <w:r>
              <w:rPr>
                <w:sz w:val="20"/>
              </w:rPr>
              <w:t>Neutron,</w:t>
            </w:r>
            <w:r>
              <w:rPr>
                <w:spacing w:val="-5"/>
                <w:sz w:val="20"/>
              </w:rPr>
              <w:t> </w:t>
            </w:r>
            <w:r>
              <w:rPr>
                <w:sz w:val="20"/>
              </w:rPr>
              <w:t>is</w:t>
            </w:r>
            <w:r>
              <w:rPr>
                <w:spacing w:val="-5"/>
                <w:sz w:val="20"/>
              </w:rPr>
              <w:t> </w:t>
            </w:r>
            <w:r>
              <w:rPr>
                <w:sz w:val="20"/>
              </w:rPr>
              <w:t>still</w:t>
            </w:r>
            <w:r>
              <w:rPr>
                <w:spacing w:val="-5"/>
                <w:sz w:val="20"/>
              </w:rPr>
              <w:t> </w:t>
            </w:r>
            <w:r>
              <w:rPr>
                <w:sz w:val="20"/>
              </w:rPr>
              <w:t>authenticated rather than automatically trusted because it originates "inside" the cluster</w:t>
            </w:r>
          </w:p>
        </w:tc>
      </w:tr>
      <w:tr>
        <w:trPr>
          <w:trHeight w:val="986" w:hRule="atLeast"/>
        </w:trPr>
        <w:tc>
          <w:tcPr>
            <w:tcW w:w="2062" w:type="dxa"/>
          </w:tcPr>
          <w:p>
            <w:pPr>
              <w:pStyle w:val="TableParagraph"/>
              <w:rPr>
                <w:sz w:val="20"/>
              </w:rPr>
            </w:pPr>
            <w:r>
              <w:rPr>
                <w:sz w:val="20"/>
              </w:rPr>
              <w:t>Threat</w:t>
            </w:r>
            <w:r>
              <w:rPr>
                <w:spacing w:val="-5"/>
                <w:sz w:val="20"/>
              </w:rPr>
              <w:t> </w:t>
            </w:r>
            <w:r>
              <w:rPr>
                <w:spacing w:val="-2"/>
                <w:sz w:val="20"/>
              </w:rPr>
              <w:t>Modeling</w:t>
            </w:r>
          </w:p>
        </w:tc>
        <w:tc>
          <w:tcPr>
            <w:tcW w:w="7293" w:type="dxa"/>
          </w:tcPr>
          <w:p>
            <w:pPr>
              <w:pStyle w:val="TableParagraph"/>
              <w:spacing w:line="288" w:lineRule="auto"/>
              <w:ind w:left="101" w:right="66"/>
              <w:rPr>
                <w:sz w:val="20"/>
              </w:rPr>
            </w:pPr>
            <w:r>
              <w:rPr>
                <w:sz w:val="20"/>
              </w:rPr>
              <w:t>Before a new Kolla role is enabled (for example, Zun or Octavia), the first question asked</w:t>
            </w:r>
            <w:r>
              <w:rPr>
                <w:spacing w:val="-3"/>
                <w:sz w:val="20"/>
              </w:rPr>
              <w:t> </w:t>
            </w:r>
            <w:r>
              <w:rPr>
                <w:sz w:val="20"/>
              </w:rPr>
              <w:t>is</w:t>
            </w:r>
            <w:r>
              <w:rPr>
                <w:spacing w:val="-3"/>
                <w:sz w:val="20"/>
              </w:rPr>
              <w:t> </w:t>
            </w:r>
            <w:r>
              <w:rPr>
                <w:sz w:val="20"/>
              </w:rPr>
              <w:t>what</w:t>
            </w:r>
            <w:r>
              <w:rPr>
                <w:spacing w:val="-3"/>
                <w:sz w:val="20"/>
              </w:rPr>
              <w:t> </w:t>
            </w:r>
            <w:r>
              <w:rPr>
                <w:sz w:val="20"/>
              </w:rPr>
              <w:t>attack</w:t>
            </w:r>
            <w:r>
              <w:rPr>
                <w:spacing w:val="-3"/>
                <w:sz w:val="20"/>
              </w:rPr>
              <w:t> </w:t>
            </w:r>
            <w:r>
              <w:rPr>
                <w:sz w:val="20"/>
              </w:rPr>
              <w:t>surface</w:t>
            </w:r>
            <w:r>
              <w:rPr>
                <w:spacing w:val="-3"/>
                <w:sz w:val="20"/>
              </w:rPr>
              <w:t> </w:t>
            </w:r>
            <w:r>
              <w:rPr>
                <w:sz w:val="20"/>
              </w:rPr>
              <w:t>it</w:t>
            </w:r>
            <w:r>
              <w:rPr>
                <w:spacing w:val="-3"/>
                <w:sz w:val="20"/>
              </w:rPr>
              <w:t> </w:t>
            </w:r>
            <w:r>
              <w:rPr>
                <w:sz w:val="20"/>
              </w:rPr>
              <w:t>introduces</w:t>
            </w:r>
            <w:r>
              <w:rPr>
                <w:spacing w:val="-3"/>
                <w:sz w:val="20"/>
              </w:rPr>
              <w:t> </w:t>
            </w:r>
            <w:r>
              <w:rPr>
                <w:sz w:val="20"/>
              </w:rPr>
              <w:t>and</w:t>
            </w:r>
            <w:r>
              <w:rPr>
                <w:spacing w:val="-3"/>
                <w:sz w:val="20"/>
              </w:rPr>
              <w:t> </w:t>
            </w:r>
            <w:r>
              <w:rPr>
                <w:sz w:val="20"/>
              </w:rPr>
              <w:t>who</w:t>
            </w:r>
            <w:r>
              <w:rPr>
                <w:spacing w:val="-3"/>
                <w:sz w:val="20"/>
              </w:rPr>
              <w:t> </w:t>
            </w:r>
            <w:r>
              <w:rPr>
                <w:sz w:val="20"/>
              </w:rPr>
              <w:t>would</w:t>
            </w:r>
            <w:r>
              <w:rPr>
                <w:spacing w:val="-3"/>
                <w:sz w:val="20"/>
              </w:rPr>
              <w:t> </w:t>
            </w:r>
            <w:r>
              <w:rPr>
                <w:sz w:val="20"/>
              </w:rPr>
              <w:t>target</w:t>
            </w:r>
            <w:r>
              <w:rPr>
                <w:spacing w:val="-3"/>
                <w:sz w:val="20"/>
              </w:rPr>
              <w:t> </w:t>
            </w:r>
            <w:r>
              <w:rPr>
                <w:sz w:val="20"/>
              </w:rPr>
              <w:t>it,</w:t>
            </w:r>
            <w:r>
              <w:rPr>
                <w:spacing w:val="-3"/>
                <w:sz w:val="20"/>
              </w:rPr>
              <w:t> </w:t>
            </w:r>
            <w:r>
              <w:rPr>
                <w:sz w:val="20"/>
              </w:rPr>
              <w:t>not</w:t>
            </w:r>
            <w:r>
              <w:rPr>
                <w:spacing w:val="-3"/>
                <w:sz w:val="20"/>
              </w:rPr>
              <w:t> </w:t>
            </w:r>
            <w:r>
              <w:rPr>
                <w:sz w:val="20"/>
              </w:rPr>
              <w:t>simply</w:t>
            </w:r>
            <w:r>
              <w:rPr>
                <w:spacing w:val="-3"/>
                <w:sz w:val="20"/>
              </w:rPr>
              <w:t> </w:t>
            </w:r>
            <w:r>
              <w:rPr>
                <w:sz w:val="20"/>
              </w:rPr>
              <w:t>whether</w:t>
            </w:r>
            <w:r>
              <w:rPr>
                <w:spacing w:val="-3"/>
                <w:sz w:val="20"/>
              </w:rPr>
              <w:t> </w:t>
            </w:r>
            <w:r>
              <w:rPr>
                <w:sz w:val="20"/>
              </w:rPr>
              <w:t>it </w:t>
            </w:r>
            <w:r>
              <w:rPr>
                <w:spacing w:val="-2"/>
                <w:sz w:val="20"/>
              </w:rPr>
              <w:t>works</w:t>
            </w:r>
          </w:p>
        </w:tc>
      </w:tr>
    </w:tbl>
    <w:p>
      <w:pPr>
        <w:pStyle w:val="Heading2"/>
        <w:numPr>
          <w:ilvl w:val="1"/>
          <w:numId w:val="1"/>
        </w:numPr>
        <w:tabs>
          <w:tab w:pos="720" w:val="left" w:leader="none"/>
        </w:tabs>
        <w:spacing w:line="240" w:lineRule="auto" w:before="122" w:after="0"/>
        <w:ind w:left="720" w:right="0" w:hanging="360"/>
        <w:jc w:val="left"/>
      </w:pPr>
      <w:bookmarkStart w:name="2.5 NIST " w:id="6"/>
      <w:bookmarkEnd w:id="6"/>
      <w:r>
        <w:rPr>
          <w:b w:val="0"/>
        </w:rPr>
      </w:r>
      <w:r>
        <w:rPr>
          <w:spacing w:val="-4"/>
        </w:rPr>
        <w:t>NIST</w:t>
      </w:r>
    </w:p>
    <w:p>
      <w:pPr>
        <w:pStyle w:val="BodyText"/>
        <w:spacing w:before="103"/>
        <w:ind w:right="355"/>
      </w:pPr>
      <w:r>
        <w:rPr/>
        <w:t>NIST, the U.S. National Institute of Standards and Technology, publishes free, vendor-neutral security</w:t>
      </w:r>
      <w:r>
        <w:rPr>
          <w:spacing w:val="-4"/>
        </w:rPr>
        <w:t> </w:t>
      </w:r>
      <w:r>
        <w:rPr/>
        <w:t>frameworks</w:t>
      </w:r>
      <w:r>
        <w:rPr>
          <w:spacing w:val="-4"/>
        </w:rPr>
        <w:t> </w:t>
      </w:r>
      <w:r>
        <w:rPr/>
        <w:t>and</w:t>
      </w:r>
      <w:r>
        <w:rPr>
          <w:spacing w:val="-4"/>
        </w:rPr>
        <w:t> </w:t>
      </w:r>
      <w:r>
        <w:rPr/>
        <w:t>standards</w:t>
      </w:r>
      <w:r>
        <w:rPr>
          <w:spacing w:val="-4"/>
        </w:rPr>
        <w:t> </w:t>
      </w:r>
      <w:r>
        <w:rPr/>
        <w:t>that</w:t>
      </w:r>
      <w:r>
        <w:rPr>
          <w:spacing w:val="-4"/>
        </w:rPr>
        <w:t> </w:t>
      </w:r>
      <w:r>
        <w:rPr/>
        <w:t>carry</w:t>
      </w:r>
      <w:r>
        <w:rPr>
          <w:spacing w:val="-4"/>
        </w:rPr>
        <w:t> </w:t>
      </w:r>
      <w:r>
        <w:rPr/>
        <w:t>weight</w:t>
      </w:r>
      <w:r>
        <w:rPr>
          <w:spacing w:val="-4"/>
        </w:rPr>
        <w:t> </w:t>
      </w:r>
      <w:r>
        <w:rPr/>
        <w:t>across</w:t>
      </w:r>
      <w:r>
        <w:rPr>
          <w:spacing w:val="-4"/>
        </w:rPr>
        <w:t> </w:t>
      </w:r>
      <w:r>
        <w:rPr/>
        <w:t>the</w:t>
      </w:r>
      <w:r>
        <w:rPr>
          <w:spacing w:val="-4"/>
        </w:rPr>
        <w:t> </w:t>
      </w:r>
      <w:r>
        <w:rPr/>
        <w:t>industry</w:t>
      </w:r>
      <w:r>
        <w:rPr>
          <w:spacing w:val="-4"/>
        </w:rPr>
        <w:t> </w:t>
      </w:r>
      <w:r>
        <w:rPr/>
        <w:t>well</w:t>
      </w:r>
      <w:r>
        <w:rPr>
          <w:spacing w:val="-4"/>
        </w:rPr>
        <w:t> </w:t>
      </w:r>
      <w:r>
        <w:rPr/>
        <w:t>beyond</w:t>
      </w:r>
      <w:r>
        <w:rPr>
          <w:spacing w:val="-4"/>
        </w:rPr>
        <w:t> </w:t>
      </w:r>
      <w:r>
        <w:rPr/>
        <w:t>government contexts. Because NIST is not tied to selling any product, its guidance holds a kind of credibility a vendor's own "best practices" document simply cannot claim, and referencing it gives internal security decisions external legitimacy.</w:t>
      </w:r>
    </w:p>
    <w:p>
      <w:pPr>
        <w:pStyle w:val="BodyText"/>
      </w:pPr>
      <w:r>
        <w:rPr/>
        <w:t>Three</w:t>
      </w:r>
      <w:r>
        <w:rPr>
          <w:spacing w:val="-5"/>
        </w:rPr>
        <w:t> </w:t>
      </w:r>
      <w:r>
        <w:rPr/>
        <w:t>specific</w:t>
      </w:r>
      <w:r>
        <w:rPr>
          <w:spacing w:val="-2"/>
        </w:rPr>
        <w:t> </w:t>
      </w:r>
      <w:r>
        <w:rPr/>
        <w:t>NIST</w:t>
      </w:r>
      <w:r>
        <w:rPr>
          <w:spacing w:val="-3"/>
        </w:rPr>
        <w:t> </w:t>
      </w:r>
      <w:r>
        <w:rPr/>
        <w:t>publications</w:t>
      </w:r>
      <w:r>
        <w:rPr>
          <w:spacing w:val="-2"/>
        </w:rPr>
        <w:t> </w:t>
      </w:r>
      <w:r>
        <w:rPr/>
        <w:t>are</w:t>
      </w:r>
      <w:r>
        <w:rPr>
          <w:spacing w:val="-3"/>
        </w:rPr>
        <w:t> </w:t>
      </w:r>
      <w:r>
        <w:rPr/>
        <w:t>used</w:t>
      </w:r>
      <w:r>
        <w:rPr>
          <w:spacing w:val="-2"/>
        </w:rPr>
        <w:t> </w:t>
      </w:r>
      <w:r>
        <w:rPr/>
        <w:t>here,</w:t>
      </w:r>
      <w:r>
        <w:rPr>
          <w:spacing w:val="-3"/>
        </w:rPr>
        <w:t> </w:t>
      </w:r>
      <w:r>
        <w:rPr/>
        <w:t>each</w:t>
      </w:r>
      <w:r>
        <w:rPr>
          <w:spacing w:val="-2"/>
        </w:rPr>
        <w:t> </w:t>
      </w:r>
      <w:r>
        <w:rPr/>
        <w:t>at</w:t>
      </w:r>
      <w:r>
        <w:rPr>
          <w:spacing w:val="-3"/>
        </w:rPr>
        <w:t> </w:t>
      </w:r>
      <w:r>
        <w:rPr/>
        <w:t>a</w:t>
      </w:r>
      <w:r>
        <w:rPr>
          <w:spacing w:val="-2"/>
        </w:rPr>
        <w:t> </w:t>
      </w:r>
      <w:r>
        <w:rPr/>
        <w:t>different</w:t>
      </w:r>
      <w:r>
        <w:rPr>
          <w:spacing w:val="-3"/>
        </w:rPr>
        <w:t> </w:t>
      </w:r>
      <w:r>
        <w:rPr/>
        <w:t>level</w:t>
      </w:r>
      <w:r>
        <w:rPr>
          <w:spacing w:val="-2"/>
        </w:rPr>
        <w:t> </w:t>
      </w:r>
      <w:r>
        <w:rPr/>
        <w:t>of</w:t>
      </w:r>
      <w:r>
        <w:rPr>
          <w:spacing w:val="-2"/>
        </w:rPr>
        <w:t> detail.</w:t>
      </w:r>
    </w:p>
    <w:p>
      <w:pPr>
        <w:pStyle w:val="BodyText"/>
        <w:spacing w:before="5"/>
        <w:ind w:left="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2"/>
        <w:gridCol w:w="7302"/>
      </w:tblGrid>
      <w:tr>
        <w:trPr>
          <w:trHeight w:val="434" w:hRule="atLeast"/>
        </w:trPr>
        <w:tc>
          <w:tcPr>
            <w:tcW w:w="2052" w:type="dxa"/>
          </w:tcPr>
          <w:p>
            <w:pPr>
              <w:pStyle w:val="TableParagraph"/>
              <w:rPr>
                <w:b/>
                <w:sz w:val="20"/>
              </w:rPr>
            </w:pPr>
            <w:r>
              <w:rPr>
                <w:b/>
                <w:spacing w:val="-2"/>
                <w:sz w:val="20"/>
              </w:rPr>
              <w:t>Document</w:t>
            </w:r>
          </w:p>
        </w:tc>
        <w:tc>
          <w:tcPr>
            <w:tcW w:w="7302" w:type="dxa"/>
          </w:tcPr>
          <w:p>
            <w:pPr>
              <w:pStyle w:val="TableParagraph"/>
              <w:rPr>
                <w:b/>
                <w:sz w:val="20"/>
              </w:rPr>
            </w:pPr>
            <w:r>
              <w:rPr>
                <w:b/>
                <w:sz w:val="20"/>
              </w:rPr>
              <w:t>Role</w:t>
            </w:r>
            <w:r>
              <w:rPr>
                <w:b/>
                <w:spacing w:val="-3"/>
                <w:sz w:val="20"/>
              </w:rPr>
              <w:t> </w:t>
            </w:r>
            <w:r>
              <w:rPr>
                <w:b/>
                <w:sz w:val="20"/>
              </w:rPr>
              <w:t>in</w:t>
            </w:r>
            <w:r>
              <w:rPr>
                <w:b/>
                <w:spacing w:val="-2"/>
                <w:sz w:val="20"/>
              </w:rPr>
              <w:t> </w:t>
            </w:r>
            <w:r>
              <w:rPr>
                <w:b/>
                <w:sz w:val="20"/>
              </w:rPr>
              <w:t>this</w:t>
            </w:r>
            <w:r>
              <w:rPr>
                <w:b/>
                <w:spacing w:val="-2"/>
                <w:sz w:val="20"/>
              </w:rPr>
              <w:t> document</w:t>
            </w:r>
          </w:p>
        </w:tc>
      </w:tr>
      <w:tr>
        <w:trPr>
          <w:trHeight w:val="710" w:hRule="atLeast"/>
        </w:trPr>
        <w:tc>
          <w:tcPr>
            <w:tcW w:w="2052" w:type="dxa"/>
          </w:tcPr>
          <w:p>
            <w:pPr>
              <w:pStyle w:val="TableParagraph"/>
              <w:rPr>
                <w:sz w:val="20"/>
              </w:rPr>
            </w:pPr>
            <w:r>
              <w:rPr>
                <w:sz w:val="20"/>
              </w:rPr>
              <w:t>NIST</w:t>
            </w:r>
            <w:r>
              <w:rPr>
                <w:spacing w:val="-3"/>
                <w:sz w:val="20"/>
              </w:rPr>
              <w:t> </w:t>
            </w:r>
            <w:r>
              <w:rPr>
                <w:spacing w:val="-5"/>
                <w:sz w:val="20"/>
              </w:rPr>
              <w:t>CSF</w:t>
            </w:r>
          </w:p>
        </w:tc>
        <w:tc>
          <w:tcPr>
            <w:tcW w:w="7302" w:type="dxa"/>
          </w:tcPr>
          <w:p>
            <w:pPr>
              <w:pStyle w:val="TableParagraph"/>
              <w:spacing w:line="288" w:lineRule="auto"/>
              <w:ind w:right="180"/>
              <w:rPr>
                <w:sz w:val="20"/>
              </w:rPr>
            </w:pPr>
            <w:r>
              <w:rPr>
                <w:sz w:val="20"/>
              </w:rPr>
              <w:t>Supplies</w:t>
            </w:r>
            <w:r>
              <w:rPr>
                <w:spacing w:val="-9"/>
                <w:sz w:val="20"/>
              </w:rPr>
              <w:t> </w:t>
            </w:r>
            <w:r>
              <w:rPr>
                <w:sz w:val="20"/>
              </w:rPr>
              <w:t>the</w:t>
            </w:r>
            <w:r>
              <w:rPr>
                <w:spacing w:val="-9"/>
                <w:sz w:val="20"/>
              </w:rPr>
              <w:t> </w:t>
            </w:r>
            <w:r>
              <w:rPr>
                <w:sz w:val="20"/>
              </w:rPr>
              <w:t>top-level</w:t>
            </w:r>
            <w:r>
              <w:rPr>
                <w:spacing w:val="-9"/>
                <w:sz w:val="20"/>
              </w:rPr>
              <w:t> </w:t>
            </w:r>
            <w:r>
              <w:rPr>
                <w:sz w:val="20"/>
              </w:rPr>
              <w:t>five-stage</w:t>
            </w:r>
            <w:r>
              <w:rPr>
                <w:spacing w:val="-9"/>
                <w:sz w:val="20"/>
              </w:rPr>
              <w:t> </w:t>
            </w:r>
            <w:r>
              <w:rPr>
                <w:sz w:val="20"/>
              </w:rPr>
              <w:t>structure</w:t>
            </w:r>
            <w:r>
              <w:rPr>
                <w:spacing w:val="-9"/>
                <w:sz w:val="20"/>
              </w:rPr>
              <w:t> </w:t>
            </w:r>
            <w:r>
              <w:rPr>
                <w:sz w:val="20"/>
              </w:rPr>
              <w:t>(Identify/Protect/Detect/Respond/Recover) the whole document follows</w:t>
            </w:r>
          </w:p>
        </w:tc>
      </w:tr>
      <w:tr>
        <w:trPr>
          <w:trHeight w:val="710" w:hRule="atLeast"/>
        </w:trPr>
        <w:tc>
          <w:tcPr>
            <w:tcW w:w="2052" w:type="dxa"/>
          </w:tcPr>
          <w:p>
            <w:pPr>
              <w:pStyle w:val="TableParagraph"/>
              <w:rPr>
                <w:sz w:val="20"/>
              </w:rPr>
            </w:pPr>
            <w:r>
              <w:rPr>
                <w:sz w:val="20"/>
              </w:rPr>
              <w:t>NIST</w:t>
            </w:r>
            <w:r>
              <w:rPr>
                <w:spacing w:val="-2"/>
                <w:sz w:val="20"/>
              </w:rPr>
              <w:t> </w:t>
            </w:r>
            <w:r>
              <w:rPr>
                <w:sz w:val="20"/>
              </w:rPr>
              <w:t>SP</w:t>
            </w:r>
            <w:r>
              <w:rPr>
                <w:spacing w:val="-2"/>
                <w:sz w:val="20"/>
              </w:rPr>
              <w:t> </w:t>
            </w:r>
            <w:r>
              <w:rPr>
                <w:sz w:val="20"/>
              </w:rPr>
              <w:t>800-</w:t>
            </w:r>
            <w:r>
              <w:rPr>
                <w:spacing w:val="-5"/>
                <w:sz w:val="20"/>
              </w:rPr>
              <w:t>190</w:t>
            </w:r>
          </w:p>
        </w:tc>
        <w:tc>
          <w:tcPr>
            <w:tcW w:w="7302" w:type="dxa"/>
          </w:tcPr>
          <w:p>
            <w:pPr>
              <w:pStyle w:val="TableParagraph"/>
              <w:spacing w:line="288" w:lineRule="auto"/>
              <w:rPr>
                <w:sz w:val="20"/>
              </w:rPr>
            </w:pPr>
            <w:r>
              <w:rPr>
                <w:sz w:val="20"/>
              </w:rPr>
              <w:t>Container-specific</w:t>
            </w:r>
            <w:r>
              <w:rPr>
                <w:spacing w:val="-5"/>
                <w:sz w:val="20"/>
              </w:rPr>
              <w:t> </w:t>
            </w:r>
            <w:r>
              <w:rPr>
                <w:sz w:val="20"/>
              </w:rPr>
              <w:t>security</w:t>
            </w:r>
            <w:r>
              <w:rPr>
                <w:spacing w:val="-5"/>
                <w:sz w:val="20"/>
              </w:rPr>
              <w:t> </w:t>
            </w:r>
            <w:r>
              <w:rPr>
                <w:sz w:val="20"/>
              </w:rPr>
              <w:t>guidance,</w:t>
            </w:r>
            <w:r>
              <w:rPr>
                <w:spacing w:val="-5"/>
                <w:sz w:val="20"/>
              </w:rPr>
              <w:t> </w:t>
            </w:r>
            <w:r>
              <w:rPr>
                <w:sz w:val="20"/>
              </w:rPr>
              <w:t>directly</w:t>
            </w:r>
            <w:r>
              <w:rPr>
                <w:spacing w:val="-5"/>
                <w:sz w:val="20"/>
              </w:rPr>
              <w:t> </w:t>
            </w:r>
            <w:r>
              <w:rPr>
                <w:sz w:val="20"/>
              </w:rPr>
              <w:t>relevant</w:t>
            </w:r>
            <w:r>
              <w:rPr>
                <w:spacing w:val="-5"/>
                <w:sz w:val="20"/>
              </w:rPr>
              <w:t> </w:t>
            </w:r>
            <w:r>
              <w:rPr>
                <w:sz w:val="20"/>
              </w:rPr>
              <w:t>since</w:t>
            </w:r>
            <w:r>
              <w:rPr>
                <w:spacing w:val="-5"/>
                <w:sz w:val="20"/>
              </w:rPr>
              <w:t> </w:t>
            </w:r>
            <w:r>
              <w:rPr>
                <w:sz w:val="20"/>
              </w:rPr>
              <w:t>every</w:t>
            </w:r>
            <w:r>
              <w:rPr>
                <w:spacing w:val="-5"/>
                <w:sz w:val="20"/>
              </w:rPr>
              <w:t> </w:t>
            </w:r>
            <w:r>
              <w:rPr>
                <w:sz w:val="20"/>
              </w:rPr>
              <w:t>OpenStack</w:t>
            </w:r>
            <w:r>
              <w:rPr>
                <w:spacing w:val="-5"/>
                <w:sz w:val="20"/>
              </w:rPr>
              <w:t> </w:t>
            </w:r>
            <w:r>
              <w:rPr>
                <w:sz w:val="20"/>
              </w:rPr>
              <w:t>service</w:t>
            </w:r>
            <w:r>
              <w:rPr>
                <w:spacing w:val="-5"/>
                <w:sz w:val="20"/>
              </w:rPr>
              <w:t> </w:t>
            </w:r>
            <w:r>
              <w:rPr>
                <w:sz w:val="20"/>
              </w:rPr>
              <w:t>in this deployment runs as a Docker container via Kolla</w:t>
            </w:r>
          </w:p>
        </w:tc>
      </w:tr>
      <w:tr>
        <w:trPr>
          <w:trHeight w:val="986" w:hRule="atLeast"/>
        </w:trPr>
        <w:tc>
          <w:tcPr>
            <w:tcW w:w="2052" w:type="dxa"/>
          </w:tcPr>
          <w:p>
            <w:pPr>
              <w:pStyle w:val="TableParagraph"/>
              <w:rPr>
                <w:sz w:val="20"/>
              </w:rPr>
            </w:pPr>
            <w:r>
              <w:rPr>
                <w:sz w:val="20"/>
              </w:rPr>
              <w:t>NIST</w:t>
            </w:r>
            <w:r>
              <w:rPr>
                <w:spacing w:val="-2"/>
                <w:sz w:val="20"/>
              </w:rPr>
              <w:t> </w:t>
            </w:r>
            <w:r>
              <w:rPr>
                <w:sz w:val="20"/>
              </w:rPr>
              <w:t>SP</w:t>
            </w:r>
            <w:r>
              <w:rPr>
                <w:spacing w:val="-2"/>
                <w:sz w:val="20"/>
              </w:rPr>
              <w:t> </w:t>
            </w:r>
            <w:r>
              <w:rPr>
                <w:sz w:val="20"/>
              </w:rPr>
              <w:t>800-</w:t>
            </w:r>
            <w:r>
              <w:rPr>
                <w:spacing w:val="-5"/>
                <w:sz w:val="20"/>
              </w:rPr>
              <w:t>53</w:t>
            </w:r>
          </w:p>
        </w:tc>
        <w:tc>
          <w:tcPr>
            <w:tcW w:w="7302" w:type="dxa"/>
          </w:tcPr>
          <w:p>
            <w:pPr>
              <w:pStyle w:val="TableParagraph"/>
              <w:spacing w:line="288" w:lineRule="auto"/>
              <w:rPr>
                <w:sz w:val="20"/>
              </w:rPr>
            </w:pPr>
            <w:r>
              <w:rPr>
                <w:sz w:val="20"/>
              </w:rPr>
              <w:t>A much deeper control catalog, kept as a reference in case this deployment is ever required</w:t>
            </w:r>
            <w:r>
              <w:rPr>
                <w:spacing w:val="-4"/>
                <w:sz w:val="20"/>
              </w:rPr>
              <w:t> </w:t>
            </w:r>
            <w:r>
              <w:rPr>
                <w:sz w:val="20"/>
              </w:rPr>
              <w:t>to</w:t>
            </w:r>
            <w:r>
              <w:rPr>
                <w:spacing w:val="-4"/>
                <w:sz w:val="20"/>
              </w:rPr>
              <w:t> </w:t>
            </w:r>
            <w:r>
              <w:rPr>
                <w:sz w:val="20"/>
              </w:rPr>
              <w:t>serve</w:t>
            </w:r>
            <w:r>
              <w:rPr>
                <w:spacing w:val="-4"/>
                <w:sz w:val="20"/>
              </w:rPr>
              <w:t> </w:t>
            </w:r>
            <w:r>
              <w:rPr>
                <w:sz w:val="20"/>
              </w:rPr>
              <w:t>government</w:t>
            </w:r>
            <w:r>
              <w:rPr>
                <w:spacing w:val="-4"/>
                <w:sz w:val="20"/>
              </w:rPr>
              <w:t> </w:t>
            </w:r>
            <w:r>
              <w:rPr>
                <w:sz w:val="20"/>
              </w:rPr>
              <w:t>or</w:t>
            </w:r>
            <w:r>
              <w:rPr>
                <w:spacing w:val="-4"/>
                <w:sz w:val="20"/>
              </w:rPr>
              <w:t> </w:t>
            </w:r>
            <w:r>
              <w:rPr>
                <w:sz w:val="20"/>
              </w:rPr>
              <w:t>regulated</w:t>
            </w:r>
            <w:r>
              <w:rPr>
                <w:spacing w:val="-4"/>
                <w:sz w:val="20"/>
              </w:rPr>
              <w:t> </w:t>
            </w:r>
            <w:r>
              <w:rPr>
                <w:sz w:val="20"/>
              </w:rPr>
              <w:t>workloads,</w:t>
            </w:r>
            <w:r>
              <w:rPr>
                <w:spacing w:val="-4"/>
                <w:sz w:val="20"/>
              </w:rPr>
              <w:t> </w:t>
            </w:r>
            <w:r>
              <w:rPr>
                <w:sz w:val="20"/>
              </w:rPr>
              <w:t>where</w:t>
            </w:r>
            <w:r>
              <w:rPr>
                <w:spacing w:val="-4"/>
                <w:sz w:val="20"/>
              </w:rPr>
              <w:t> </w:t>
            </w:r>
            <w:r>
              <w:rPr>
                <w:sz w:val="20"/>
              </w:rPr>
              <w:t>800-53</w:t>
            </w:r>
            <w:r>
              <w:rPr>
                <w:spacing w:val="-4"/>
                <w:sz w:val="20"/>
              </w:rPr>
              <w:t> </w:t>
            </w:r>
            <w:r>
              <w:rPr>
                <w:sz w:val="20"/>
              </w:rPr>
              <w:t>alignment</w:t>
            </w:r>
            <w:r>
              <w:rPr>
                <w:spacing w:val="-4"/>
                <w:sz w:val="20"/>
              </w:rPr>
              <w:t> </w:t>
            </w:r>
            <w:r>
              <w:rPr>
                <w:sz w:val="20"/>
              </w:rPr>
              <w:t>is</w:t>
            </w:r>
            <w:r>
              <w:rPr>
                <w:spacing w:val="-4"/>
                <w:sz w:val="20"/>
              </w:rPr>
              <w:t> </w:t>
            </w:r>
            <w:r>
              <w:rPr>
                <w:sz w:val="20"/>
              </w:rPr>
              <w:t>often contractually required</w:t>
            </w:r>
          </w:p>
        </w:tc>
      </w:tr>
    </w:tbl>
    <w:p>
      <w:pPr>
        <w:pStyle w:val="TableParagraph"/>
        <w:spacing w:after="0" w:line="288" w:lineRule="auto"/>
        <w:rPr>
          <w:sz w:val="20"/>
        </w:rPr>
        <w:sectPr>
          <w:type w:val="continuous"/>
          <w:pgSz w:w="12240" w:h="15840"/>
          <w:pgMar w:top="960" w:bottom="280" w:left="1080" w:right="1080"/>
        </w:sectPr>
      </w:pPr>
    </w:p>
    <w:p>
      <w:pPr>
        <w:pStyle w:val="Heading2"/>
        <w:numPr>
          <w:ilvl w:val="1"/>
          <w:numId w:val="1"/>
        </w:numPr>
        <w:tabs>
          <w:tab w:pos="720" w:val="left" w:leader="none"/>
        </w:tabs>
        <w:spacing w:line="240" w:lineRule="auto" w:before="73" w:after="0"/>
        <w:ind w:left="720" w:right="0" w:hanging="360"/>
        <w:jc w:val="left"/>
      </w:pPr>
      <w:bookmarkStart w:name="2.6 ISO " w:id="7"/>
      <w:bookmarkEnd w:id="7"/>
      <w:r>
        <w:rPr>
          <w:b w:val="0"/>
        </w:rPr>
      </w:r>
      <w:r>
        <w:rPr>
          <w:spacing w:val="-5"/>
        </w:rPr>
        <w:t>ISO</w:t>
      </w:r>
    </w:p>
    <w:p>
      <w:pPr>
        <w:pStyle w:val="BodyText"/>
        <w:spacing w:before="103"/>
        <w:ind w:right="382"/>
      </w:pPr>
      <w:r>
        <w:rPr/>
        <w:t>ISO, the International Organization for Standardization, publishes internationally recognized standards; ISO/IEC 27001 and 27002 specifically cover information security management. Where NIST largely describes which controls to have, ISO 27001 describes how to run security as an ongoing program, who owns it, how often it gets reviewed, how risk gets assessed in the first</w:t>
      </w:r>
      <w:r>
        <w:rPr>
          <w:spacing w:val="-3"/>
        </w:rPr>
        <w:t> </w:t>
      </w:r>
      <w:r>
        <w:rPr/>
        <w:t>place.</w:t>
      </w:r>
      <w:r>
        <w:rPr>
          <w:spacing w:val="-3"/>
        </w:rPr>
        <w:t> </w:t>
      </w:r>
      <w:r>
        <w:rPr/>
        <w:t>Without</w:t>
      </w:r>
      <w:r>
        <w:rPr>
          <w:spacing w:val="-3"/>
        </w:rPr>
        <w:t> </w:t>
      </w:r>
      <w:r>
        <w:rPr/>
        <w:t>that</w:t>
      </w:r>
      <w:r>
        <w:rPr>
          <w:spacing w:val="-3"/>
        </w:rPr>
        <w:t> </w:t>
      </w:r>
      <w:r>
        <w:rPr/>
        <w:t>layer,</w:t>
      </w:r>
      <w:r>
        <w:rPr>
          <w:spacing w:val="-3"/>
        </w:rPr>
        <w:t> </w:t>
      </w:r>
      <w:r>
        <w:rPr/>
        <w:t>security</w:t>
      </w:r>
      <w:r>
        <w:rPr>
          <w:spacing w:val="-3"/>
        </w:rPr>
        <w:t> </w:t>
      </w:r>
      <w:r>
        <w:rPr/>
        <w:t>has</w:t>
      </w:r>
      <w:r>
        <w:rPr>
          <w:spacing w:val="-3"/>
        </w:rPr>
        <w:t> </w:t>
      </w:r>
      <w:r>
        <w:rPr/>
        <w:t>a</w:t>
      </w:r>
      <w:r>
        <w:rPr>
          <w:spacing w:val="-3"/>
        </w:rPr>
        <w:t> </w:t>
      </w:r>
      <w:r>
        <w:rPr/>
        <w:t>strong</w:t>
      </w:r>
      <w:r>
        <w:rPr>
          <w:spacing w:val="-3"/>
        </w:rPr>
        <w:t> </w:t>
      </w:r>
      <w:r>
        <w:rPr/>
        <w:t>tendency</w:t>
      </w:r>
      <w:r>
        <w:rPr>
          <w:spacing w:val="-3"/>
        </w:rPr>
        <w:t> </w:t>
      </w:r>
      <w:r>
        <w:rPr/>
        <w:t>to</w:t>
      </w:r>
      <w:r>
        <w:rPr>
          <w:spacing w:val="-3"/>
        </w:rPr>
        <w:t> </w:t>
      </w:r>
      <w:r>
        <w:rPr/>
        <w:t>be</w:t>
      </w:r>
      <w:r>
        <w:rPr>
          <w:spacing w:val="-3"/>
        </w:rPr>
        <w:t> </w:t>
      </w:r>
      <w:r>
        <w:rPr/>
        <w:t>done</w:t>
      </w:r>
      <w:r>
        <w:rPr>
          <w:spacing w:val="-3"/>
        </w:rPr>
        <w:t> </w:t>
      </w:r>
      <w:r>
        <w:rPr/>
        <w:t>once</w:t>
      </w:r>
      <w:r>
        <w:rPr>
          <w:spacing w:val="-3"/>
        </w:rPr>
        <w:t> </w:t>
      </w:r>
      <w:r>
        <w:rPr/>
        <w:t>at</w:t>
      </w:r>
      <w:r>
        <w:rPr>
          <w:spacing w:val="-3"/>
        </w:rPr>
        <w:t> </w:t>
      </w:r>
      <w:r>
        <w:rPr/>
        <w:t>deployment</w:t>
      </w:r>
      <w:r>
        <w:rPr>
          <w:spacing w:val="-3"/>
        </w:rPr>
        <w:t> </w:t>
      </w:r>
      <w:r>
        <w:rPr/>
        <w:t>time and then quietly forgotten.</w:t>
      </w:r>
    </w:p>
    <w:p>
      <w:pPr>
        <w:pStyle w:val="BodyText"/>
        <w:spacing w:before="5"/>
        <w:ind w:left="0"/>
        <w:rPr>
          <w:sz w:val="17"/>
        </w:rPr>
      </w:pPr>
    </w:p>
    <w:tbl>
      <w:tblPr>
        <w:tblW w:w="0" w:type="auto"/>
        <w:jc w:val="left"/>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8"/>
        <w:gridCol w:w="7296"/>
      </w:tblGrid>
      <w:tr>
        <w:trPr>
          <w:trHeight w:val="434" w:hRule="atLeast"/>
        </w:trPr>
        <w:tc>
          <w:tcPr>
            <w:tcW w:w="2058" w:type="dxa"/>
          </w:tcPr>
          <w:p>
            <w:pPr>
              <w:pStyle w:val="TableParagraph"/>
              <w:rPr>
                <w:b/>
                <w:sz w:val="20"/>
              </w:rPr>
            </w:pPr>
            <w:r>
              <w:rPr>
                <w:b/>
                <w:spacing w:val="-2"/>
                <w:sz w:val="20"/>
              </w:rPr>
              <w:t>Standard</w:t>
            </w:r>
          </w:p>
        </w:tc>
        <w:tc>
          <w:tcPr>
            <w:tcW w:w="7296" w:type="dxa"/>
          </w:tcPr>
          <w:p>
            <w:pPr>
              <w:pStyle w:val="TableParagraph"/>
              <w:rPr>
                <w:b/>
                <w:sz w:val="20"/>
              </w:rPr>
            </w:pPr>
            <w:r>
              <w:rPr>
                <w:b/>
                <w:sz w:val="20"/>
              </w:rPr>
              <w:t>Role</w:t>
            </w:r>
            <w:r>
              <w:rPr>
                <w:b/>
                <w:spacing w:val="-3"/>
                <w:sz w:val="20"/>
              </w:rPr>
              <w:t> </w:t>
            </w:r>
            <w:r>
              <w:rPr>
                <w:b/>
                <w:sz w:val="20"/>
              </w:rPr>
              <w:t>in</w:t>
            </w:r>
            <w:r>
              <w:rPr>
                <w:b/>
                <w:spacing w:val="-2"/>
                <w:sz w:val="20"/>
              </w:rPr>
              <w:t> </w:t>
            </w:r>
            <w:r>
              <w:rPr>
                <w:b/>
                <w:sz w:val="20"/>
              </w:rPr>
              <w:t>this</w:t>
            </w:r>
            <w:r>
              <w:rPr>
                <w:b/>
                <w:spacing w:val="-2"/>
                <w:sz w:val="20"/>
              </w:rPr>
              <w:t> document</w:t>
            </w:r>
          </w:p>
        </w:tc>
      </w:tr>
      <w:tr>
        <w:trPr>
          <w:trHeight w:val="710" w:hRule="atLeast"/>
        </w:trPr>
        <w:tc>
          <w:tcPr>
            <w:tcW w:w="2058" w:type="dxa"/>
          </w:tcPr>
          <w:p>
            <w:pPr>
              <w:pStyle w:val="TableParagraph"/>
              <w:rPr>
                <w:sz w:val="20"/>
              </w:rPr>
            </w:pPr>
            <w:r>
              <w:rPr>
                <w:sz w:val="20"/>
              </w:rPr>
              <w:t>ISO/IEC</w:t>
            </w:r>
            <w:r>
              <w:rPr>
                <w:spacing w:val="-6"/>
                <w:sz w:val="20"/>
              </w:rPr>
              <w:t> </w:t>
            </w:r>
            <w:r>
              <w:rPr>
                <w:spacing w:val="-2"/>
                <w:sz w:val="20"/>
              </w:rPr>
              <w:t>27001</w:t>
            </w:r>
          </w:p>
        </w:tc>
        <w:tc>
          <w:tcPr>
            <w:tcW w:w="7296" w:type="dxa"/>
          </w:tcPr>
          <w:p>
            <w:pPr>
              <w:pStyle w:val="TableParagraph"/>
              <w:spacing w:line="288" w:lineRule="auto"/>
              <w:rPr>
                <w:sz w:val="20"/>
              </w:rPr>
            </w:pPr>
            <w:r>
              <w:rPr>
                <w:sz w:val="20"/>
              </w:rPr>
              <w:t>Governs the security program, who is responsible for reviewing Keystone RBAC quarterly,</w:t>
            </w:r>
            <w:r>
              <w:rPr>
                <w:spacing w:val="-4"/>
                <w:sz w:val="20"/>
              </w:rPr>
              <w:t> </w:t>
            </w:r>
            <w:r>
              <w:rPr>
                <w:sz w:val="20"/>
              </w:rPr>
              <w:t>who</w:t>
            </w:r>
            <w:r>
              <w:rPr>
                <w:spacing w:val="-4"/>
                <w:sz w:val="20"/>
              </w:rPr>
              <w:t> </w:t>
            </w:r>
            <w:r>
              <w:rPr>
                <w:sz w:val="20"/>
              </w:rPr>
              <w:t>re-tests</w:t>
            </w:r>
            <w:r>
              <w:rPr>
                <w:spacing w:val="-4"/>
                <w:sz w:val="20"/>
              </w:rPr>
              <w:t> </w:t>
            </w:r>
            <w:r>
              <w:rPr>
                <w:sz w:val="20"/>
              </w:rPr>
              <w:t>network</w:t>
            </w:r>
            <w:r>
              <w:rPr>
                <w:spacing w:val="-4"/>
                <w:sz w:val="20"/>
              </w:rPr>
              <w:t> </w:t>
            </w:r>
            <w:r>
              <w:rPr>
                <w:sz w:val="20"/>
              </w:rPr>
              <w:t>segmentation,</w:t>
            </w:r>
            <w:r>
              <w:rPr>
                <w:spacing w:val="-4"/>
                <w:sz w:val="20"/>
              </w:rPr>
              <w:t> </w:t>
            </w:r>
            <w:r>
              <w:rPr>
                <w:sz w:val="20"/>
              </w:rPr>
              <w:t>how</w:t>
            </w:r>
            <w:r>
              <w:rPr>
                <w:spacing w:val="-4"/>
                <w:sz w:val="20"/>
              </w:rPr>
              <w:t> </w:t>
            </w:r>
            <w:r>
              <w:rPr>
                <w:sz w:val="20"/>
              </w:rPr>
              <w:t>often</w:t>
            </w:r>
            <w:r>
              <w:rPr>
                <w:spacing w:val="-4"/>
                <w:sz w:val="20"/>
              </w:rPr>
              <w:t> </w:t>
            </w:r>
            <w:r>
              <w:rPr>
                <w:sz w:val="20"/>
              </w:rPr>
              <w:t>this</w:t>
            </w:r>
            <w:r>
              <w:rPr>
                <w:spacing w:val="-4"/>
                <w:sz w:val="20"/>
              </w:rPr>
              <w:t> </w:t>
            </w:r>
            <w:r>
              <w:rPr>
                <w:sz w:val="20"/>
              </w:rPr>
              <w:t>document</w:t>
            </w:r>
            <w:r>
              <w:rPr>
                <w:spacing w:val="-4"/>
                <w:sz w:val="20"/>
              </w:rPr>
              <w:t> </w:t>
            </w:r>
            <w:r>
              <w:rPr>
                <w:sz w:val="20"/>
              </w:rPr>
              <w:t>itself</w:t>
            </w:r>
            <w:r>
              <w:rPr>
                <w:spacing w:val="-4"/>
                <w:sz w:val="20"/>
              </w:rPr>
              <w:t> </w:t>
            </w:r>
            <w:r>
              <w:rPr>
                <w:sz w:val="20"/>
              </w:rPr>
              <w:t>is</w:t>
            </w:r>
            <w:r>
              <w:rPr>
                <w:spacing w:val="-4"/>
                <w:sz w:val="20"/>
              </w:rPr>
              <w:t> </w:t>
            </w:r>
            <w:r>
              <w:rPr>
                <w:sz w:val="20"/>
              </w:rPr>
              <w:t>revisited</w:t>
            </w:r>
          </w:p>
        </w:tc>
      </w:tr>
      <w:tr>
        <w:trPr>
          <w:trHeight w:val="986" w:hRule="atLeast"/>
        </w:trPr>
        <w:tc>
          <w:tcPr>
            <w:tcW w:w="2058" w:type="dxa"/>
          </w:tcPr>
          <w:p>
            <w:pPr>
              <w:pStyle w:val="TableParagraph"/>
              <w:rPr>
                <w:sz w:val="20"/>
              </w:rPr>
            </w:pPr>
            <w:r>
              <w:rPr>
                <w:sz w:val="20"/>
              </w:rPr>
              <w:t>ISO/IEC</w:t>
            </w:r>
            <w:r>
              <w:rPr>
                <w:spacing w:val="-6"/>
                <w:sz w:val="20"/>
              </w:rPr>
              <w:t> </w:t>
            </w:r>
            <w:r>
              <w:rPr>
                <w:spacing w:val="-2"/>
                <w:sz w:val="20"/>
              </w:rPr>
              <w:t>27002</w:t>
            </w:r>
          </w:p>
        </w:tc>
        <w:tc>
          <w:tcPr>
            <w:tcW w:w="7296" w:type="dxa"/>
          </w:tcPr>
          <w:p>
            <w:pPr>
              <w:pStyle w:val="TableParagraph"/>
              <w:spacing w:line="288" w:lineRule="auto"/>
              <w:ind w:right="157"/>
              <w:rPr>
                <w:sz w:val="20"/>
              </w:rPr>
            </w:pPr>
            <w:r>
              <w:rPr>
                <w:sz w:val="20"/>
              </w:rPr>
              <w:t>The technical control checklist cross-referenced against Sections 3 and 5 of this document,</w:t>
            </w:r>
            <w:r>
              <w:rPr>
                <w:spacing w:val="-3"/>
                <w:sz w:val="20"/>
              </w:rPr>
              <w:t> </w:t>
            </w:r>
            <w:r>
              <w:rPr>
                <w:sz w:val="20"/>
              </w:rPr>
              <w:t>so</w:t>
            </w:r>
            <w:r>
              <w:rPr>
                <w:spacing w:val="-3"/>
                <w:sz w:val="20"/>
              </w:rPr>
              <w:t> </w:t>
            </w:r>
            <w:r>
              <w:rPr>
                <w:sz w:val="20"/>
              </w:rPr>
              <w:t>each</w:t>
            </w:r>
            <w:r>
              <w:rPr>
                <w:spacing w:val="-3"/>
                <w:sz w:val="20"/>
              </w:rPr>
              <w:t> </w:t>
            </w:r>
            <w:r>
              <w:rPr>
                <w:sz w:val="20"/>
              </w:rPr>
              <w:t>control</w:t>
            </w:r>
            <w:r>
              <w:rPr>
                <w:spacing w:val="-3"/>
                <w:sz w:val="20"/>
              </w:rPr>
              <w:t> </w:t>
            </w:r>
            <w:r>
              <w:rPr>
                <w:sz w:val="20"/>
              </w:rPr>
              <w:t>can</w:t>
            </w:r>
            <w:r>
              <w:rPr>
                <w:spacing w:val="-3"/>
                <w:sz w:val="20"/>
              </w:rPr>
              <w:t> </w:t>
            </w:r>
            <w:r>
              <w:rPr>
                <w:sz w:val="20"/>
              </w:rPr>
              <w:t>be</w:t>
            </w:r>
            <w:r>
              <w:rPr>
                <w:spacing w:val="-3"/>
                <w:sz w:val="20"/>
              </w:rPr>
              <w:t> </w:t>
            </w:r>
            <w:r>
              <w:rPr>
                <w:sz w:val="20"/>
              </w:rPr>
              <w:t>traced</w:t>
            </w:r>
            <w:r>
              <w:rPr>
                <w:spacing w:val="-3"/>
                <w:sz w:val="20"/>
              </w:rPr>
              <w:t> </w:t>
            </w:r>
            <w:r>
              <w:rPr>
                <w:sz w:val="20"/>
              </w:rPr>
              <w:t>back</w:t>
            </w:r>
            <w:r>
              <w:rPr>
                <w:spacing w:val="-3"/>
                <w:sz w:val="20"/>
              </w:rPr>
              <w:t> </w:t>
            </w:r>
            <w:r>
              <w:rPr>
                <w:sz w:val="20"/>
              </w:rPr>
              <w:t>to</w:t>
            </w:r>
            <w:r>
              <w:rPr>
                <w:spacing w:val="-3"/>
                <w:sz w:val="20"/>
              </w:rPr>
              <w:t> </w:t>
            </w:r>
            <w:r>
              <w:rPr>
                <w:sz w:val="20"/>
              </w:rPr>
              <w:t>a</w:t>
            </w:r>
            <w:r>
              <w:rPr>
                <w:spacing w:val="-3"/>
                <w:sz w:val="20"/>
              </w:rPr>
              <w:t> </w:t>
            </w:r>
            <w:r>
              <w:rPr>
                <w:sz w:val="20"/>
              </w:rPr>
              <w:t>specific</w:t>
            </w:r>
            <w:r>
              <w:rPr>
                <w:spacing w:val="-3"/>
                <w:sz w:val="20"/>
              </w:rPr>
              <w:t> </w:t>
            </w:r>
            <w:r>
              <w:rPr>
                <w:sz w:val="20"/>
              </w:rPr>
              <w:t>ISO</w:t>
            </w:r>
            <w:r>
              <w:rPr>
                <w:spacing w:val="-3"/>
                <w:sz w:val="20"/>
              </w:rPr>
              <w:t> </w:t>
            </w:r>
            <w:r>
              <w:rPr>
                <w:sz w:val="20"/>
              </w:rPr>
              <w:t>clause</w:t>
            </w:r>
            <w:r>
              <w:rPr>
                <w:spacing w:val="-3"/>
                <w:sz w:val="20"/>
              </w:rPr>
              <w:t> </w:t>
            </w:r>
            <w:r>
              <w:rPr>
                <w:sz w:val="20"/>
              </w:rPr>
              <w:t>instead</w:t>
            </w:r>
            <w:r>
              <w:rPr>
                <w:spacing w:val="-3"/>
                <w:sz w:val="20"/>
              </w:rPr>
              <w:t> </w:t>
            </w:r>
            <w:r>
              <w:rPr>
                <w:sz w:val="20"/>
              </w:rPr>
              <w:t>of</w:t>
            </w:r>
            <w:r>
              <w:rPr>
                <w:spacing w:val="-3"/>
                <w:sz w:val="20"/>
              </w:rPr>
              <w:t> </w:t>
            </w:r>
            <w:r>
              <w:rPr>
                <w:sz w:val="20"/>
              </w:rPr>
              <w:t>being ad hoc</w:t>
            </w:r>
          </w:p>
        </w:tc>
      </w:tr>
    </w:tbl>
    <w:sectPr>
      <w:pgSz w:w="12240" w:h="15840"/>
      <w:pgMar w:top="9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36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0"/>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3"/>
      <w:ind w:left="360" w:right="42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22"/>
      <w:ind w:left="720" w:hanging="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73"/>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5"/>
      <w:ind w:left="10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2026-07-06T05:48:26Z</dcterms:created>
  <dcterms:modified xsi:type="dcterms:W3CDTF">2026-07-06T05:48:26Z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2026-07-06T00:00:00Z</vt:filetime>
  </property>
  <property fmtid="{D5CDD505-2E9C-101B-9397-08002B2CF9AE}" pid="5" name="Producer">
    <vt:lpwstr>Pdftools SDK</vt:lpwstr>
  </property>
</Properties>
</file>