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EMERGING TECHNOLOGIES</w:t>
        <w:br/>
      </w:r>
      <w:r>
        <w:rPr>
          <w:sz w:val="34"/>
        </w:rPr>
        <w:t>Building Team-Approved Specialist Agents in ChatGPT Work</w:t>
      </w:r>
    </w:p>
    <w:p>
      <w:pPr>
        <w:jc w:val="center"/>
      </w:pPr>
      <w:r>
        <w:rPr>
          <w:b/>
          <w:sz w:val="21"/>
        </w:rPr>
        <w:t>Team Labs 3–9 | Student Instructions</w:t>
      </w:r>
    </w:p>
    <w:p>
      <w:r>
        <w:rPr>
          <w:b/>
        </w:rPr>
        <w:t xml:space="preserve">Purpose: </w:t>
      </w:r>
      <w:r>
        <w:t>Use one repeatable ChatGPT Work process to compare the independently built versions of a specialist agent, make an evidence-based team choice about what should survive, synthesize one team-owned specialist, test it, document the lineage of the decision, and package it for later mixture-of-experts integration.</w:t>
      </w:r>
    </w:p>
    <w:p>
      <w:r>
        <w:rPr>
          <w:b/>
        </w:rPr>
        <w:t xml:space="preserve">Important distinction: </w:t>
      </w:r>
      <w:r>
        <w:t>In Team Labs 3–9 you are not yet combining different specialties into the final mixture-of-experts system. You are combining several students' versions of the same specialty into one team-approved agent for that dimension of emerging-technology analysis.</w:t>
      </w:r>
    </w:p>
    <w:p>
      <w:r>
        <w:rPr>
          <w:b/>
        </w:rPr>
        <w:t xml:space="preserve">Time target: </w:t>
      </w:r>
      <w:r>
        <w:t>Complete approximately 90% of the substantive human work during the scheduled 60-minute team workshop. Use the post-class period only for cleanup, packaging, and an already-defined rerun or minor repair.</w:t>
      </w:r>
    </w:p>
    <w:p>
      <w:pPr>
        <w:pStyle w:val="Heading1"/>
      </w:pPr>
      <w:r>
        <w:t>What the Team Needs for Each Synthesis Lab</w:t>
      </w:r>
    </w:p>
    <w:p>
      <w:pPr>
        <w:pStyle w:val="ListBullet"/>
      </w:pPr>
      <w:r>
        <w:t>The canonical frozen course scaffold ZIP supplied in Brightspace.</w:t>
      </w:r>
    </w:p>
    <w:p>
      <w:pPr>
        <w:pStyle w:val="ListBullet"/>
      </w:pPr>
      <w:r>
        <w:t>The current Team Lab instructions and the corresponding individual assignment instructions.</w:t>
      </w:r>
    </w:p>
    <w:p>
      <w:pPr>
        <w:pStyle w:val="ListBullet"/>
      </w:pPr>
      <w:r>
        <w:t>Every team member's completed individual specialist-agent ZIP for the same specialty, including Agent Record and test evidence.</w:t>
      </w:r>
    </w:p>
    <w:p>
      <w:pPr>
        <w:pStyle w:val="ListBullet"/>
      </w:pPr>
      <w:r>
        <w:t>The required course readings, chapters, and source materials for that analytical specialty.</w:t>
      </w:r>
    </w:p>
    <w:p>
      <w:pPr>
        <w:pStyle w:val="ListBullet"/>
      </w:pPr>
      <w:r>
        <w:t>A ChatGPT account with Work available in a web browser.</w:t>
      </w:r>
    </w:p>
    <w:p>
      <w:r>
        <w:t>No GitHub repository, OpenAI API key, or separate Codex application is required for this team synthesis workflow. Build, test, document, and package the team-approved specialist inside one ChatGPT Work conversation.</w:t>
      </w:r>
    </w:p>
    <w:p>
      <w:pPr>
        <w:pStyle w:val="Heading1"/>
      </w:pPr>
      <w:r>
        <w:t>The Rule the Team Must Preserve</w:t>
      </w:r>
    </w:p>
    <w:p>
      <w:r>
        <w:t>Every team-approved specialist must preserve the same three levels of judgment used in the individual agents:</w:t>
      </w:r>
    </w:p>
    <w:p>
      <w:pPr>
        <w:pStyle w:val="ListBullet"/>
      </w:pPr>
      <w:r>
        <w:t>The emerging technology generally.</w:t>
      </w:r>
    </w:p>
    <w:p>
      <w:pPr>
        <w:pStyle w:val="ListBullet"/>
      </w:pPr>
      <w:r>
        <w:t>The emerging technology for the intended application.</w:t>
      </w:r>
    </w:p>
    <w:p>
      <w:pPr>
        <w:pStyle w:val="ListBullet"/>
      </w:pPr>
      <w:r>
        <w:t>The emerging technology for that application in the specified organization, industry, adoption posture, capabilities, constraints, and consequence environment.</w:t>
      </w:r>
    </w:p>
    <w:p>
      <w:r>
        <w:t>The team may improve the specialist logic, evidence rules, cases, and boundaries. It may not collapse these three levels, replace the common output contract with a private schema, or alter the frozen common architecture merely because one individual version did so.</w:t>
      </w:r>
    </w:p>
    <w:p>
      <w:pPr>
        <w:pStyle w:val="Heading1"/>
      </w:pPr>
      <w:r>
        <w:t>What Is Being Synthesized — and What Is Not</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rFonts w:ascii="Arial" w:hAnsi="Arial"/>
                <w:sz w:val="16"/>
              </w:rPr>
              <w:t>Input from individuals</w:t>
            </w:r>
          </w:p>
        </w:tc>
        <w:tc>
          <w:tcPr>
            <w:tcW w:type="dxa" w:w="3408"/>
          </w:tcPr>
          <w:p>
            <w:r>
              <w:rPr>
                <w:rFonts w:ascii="Arial" w:hAnsi="Arial"/>
                <w:sz w:val="16"/>
              </w:rPr>
              <w:t>Team may synthesize</w:t>
            </w:r>
          </w:p>
        </w:tc>
        <w:tc>
          <w:tcPr>
            <w:tcW w:type="dxa" w:w="3408"/>
          </w:tcPr>
          <w:p>
            <w:r>
              <w:rPr>
                <w:rFonts w:ascii="Arial" w:hAnsi="Arial"/>
                <w:sz w:val="16"/>
              </w:rPr>
              <w:t>Team must not do</w:t>
            </w:r>
          </w:p>
        </w:tc>
      </w:tr>
      <w:tr>
        <w:tc>
          <w:tcPr>
            <w:tcW w:type="dxa" w:w="3408"/>
            <w:vAlign w:val="top"/>
          </w:tcPr>
          <w:p>
            <w:r>
              <w:rPr>
                <w:rFonts w:ascii="Arial" w:hAnsi="Arial"/>
                <w:sz w:val="16"/>
              </w:rPr>
              <w:t>Specialist instructions</w:t>
            </w:r>
          </w:p>
        </w:tc>
        <w:tc>
          <w:tcPr>
            <w:tcW w:type="dxa" w:w="3408"/>
            <w:vAlign w:val="top"/>
          </w:tcPr>
          <w:p>
            <w:r>
              <w:rPr>
                <w:rFonts w:ascii="Arial" w:hAnsi="Arial"/>
                <w:sz w:val="16"/>
              </w:rPr>
              <w:t>Criteria, analytical steps, evidence rules, boundaries, abstention conditions</w:t>
            </w:r>
          </w:p>
        </w:tc>
        <w:tc>
          <w:tcPr>
            <w:tcW w:type="dxa" w:w="3408"/>
            <w:vAlign w:val="top"/>
          </w:tcPr>
          <w:p>
            <w:r>
              <w:rPr>
                <w:rFonts w:ascii="Arial" w:hAnsi="Arial"/>
                <w:sz w:val="16"/>
              </w:rPr>
              <w:t>Paste all instructions together or accept the longest one by default</w:t>
            </w:r>
          </w:p>
        </w:tc>
      </w:tr>
      <w:tr>
        <w:tc>
          <w:tcPr>
            <w:tcW w:type="dxa" w:w="3408"/>
            <w:vAlign w:val="top"/>
          </w:tcPr>
          <w:p>
            <w:r>
              <w:rPr>
                <w:rFonts w:ascii="Arial" w:hAnsi="Arial"/>
                <w:sz w:val="16"/>
              </w:rPr>
              <w:t>Primary and contrast cases</w:t>
            </w:r>
          </w:p>
        </w:tc>
        <w:tc>
          <w:tcPr>
            <w:tcW w:type="dxa" w:w="3408"/>
            <w:vAlign w:val="top"/>
          </w:tcPr>
          <w:p>
            <w:r>
              <w:rPr>
                <w:rFonts w:ascii="Arial" w:hAnsi="Arial"/>
                <w:sz w:val="16"/>
              </w:rPr>
              <w:t>The strongest common test cases and useful edge cases</w:t>
            </w:r>
          </w:p>
        </w:tc>
        <w:tc>
          <w:tcPr>
            <w:tcW w:type="dxa" w:w="3408"/>
            <w:vAlign w:val="top"/>
          </w:tcPr>
          <w:p>
            <w:r>
              <w:rPr>
                <w:rFonts w:ascii="Arial" w:hAnsi="Arial"/>
                <w:sz w:val="16"/>
              </w:rPr>
              <w:t>Change a test merely to make the team agent succeed</w:t>
            </w:r>
          </w:p>
        </w:tc>
      </w:tr>
      <w:tr>
        <w:tc>
          <w:tcPr>
            <w:tcW w:type="dxa" w:w="3408"/>
            <w:vAlign w:val="top"/>
          </w:tcPr>
          <w:p>
            <w:r>
              <w:rPr>
                <w:rFonts w:ascii="Arial" w:hAnsi="Arial"/>
                <w:sz w:val="16"/>
              </w:rPr>
              <w:t>Responses and validation evidence</w:t>
            </w:r>
          </w:p>
        </w:tc>
        <w:tc>
          <w:tcPr>
            <w:tcW w:type="dxa" w:w="3408"/>
            <w:vAlign w:val="top"/>
          </w:tcPr>
          <w:p>
            <w:r>
              <w:rPr>
                <w:rFonts w:ascii="Arial" w:hAnsi="Arial"/>
                <w:sz w:val="16"/>
              </w:rPr>
              <w:t>Observed strengths, failures, context sensitivity, and unsupported claims</w:t>
            </w:r>
          </w:p>
        </w:tc>
        <w:tc>
          <w:tcPr>
            <w:tcW w:type="dxa" w:w="3408"/>
            <w:vAlign w:val="top"/>
          </w:tcPr>
          <w:p>
            <w:r>
              <w:rPr>
                <w:rFonts w:ascii="Arial" w:hAnsi="Arial"/>
                <w:sz w:val="16"/>
              </w:rPr>
              <w:t>Judge only by fluency or polished prose</w:t>
            </w:r>
          </w:p>
        </w:tc>
      </w:tr>
      <w:tr>
        <w:tc>
          <w:tcPr>
            <w:tcW w:type="dxa" w:w="3408"/>
            <w:vAlign w:val="top"/>
          </w:tcPr>
          <w:p>
            <w:r>
              <w:rPr>
                <w:rFonts w:ascii="Arial" w:hAnsi="Arial"/>
                <w:sz w:val="16"/>
              </w:rPr>
              <w:t>Agent Records</w:t>
            </w:r>
          </w:p>
        </w:tc>
        <w:tc>
          <w:tcPr>
            <w:tcW w:type="dxa" w:w="3408"/>
            <w:vAlign w:val="top"/>
          </w:tcPr>
          <w:p>
            <w:r>
              <w:rPr>
                <w:rFonts w:ascii="Arial" w:hAnsi="Arial"/>
                <w:sz w:val="16"/>
              </w:rPr>
              <w:t>Evidence choices, limitations, independent judgments, and handoff recommendations</w:t>
            </w:r>
          </w:p>
        </w:tc>
        <w:tc>
          <w:tcPr>
            <w:tcW w:type="dxa" w:w="3408"/>
            <w:vAlign w:val="top"/>
          </w:tcPr>
          <w:p>
            <w:r>
              <w:rPr>
                <w:rFonts w:ascii="Arial" w:hAnsi="Arial"/>
                <w:sz w:val="16"/>
              </w:rPr>
              <w:t>Erase dissent, failures, or minority concerns</w:t>
            </w:r>
          </w:p>
        </w:tc>
      </w:tr>
      <w:tr>
        <w:tc>
          <w:tcPr>
            <w:tcW w:type="dxa" w:w="3408"/>
            <w:vAlign w:val="top"/>
          </w:tcPr>
          <w:p>
            <w:r>
              <w:rPr>
                <w:rFonts w:ascii="Arial" w:hAnsi="Arial"/>
                <w:sz w:val="16"/>
              </w:rPr>
              <w:t>Code/configuration inside specialist folder</w:t>
            </w:r>
          </w:p>
        </w:tc>
        <w:tc>
          <w:tcPr>
            <w:tcW w:type="dxa" w:w="3408"/>
            <w:vAlign w:val="top"/>
          </w:tcPr>
          <w:p>
            <w:r>
              <w:rPr>
                <w:rFonts w:ascii="Arial" w:hAnsi="Arial"/>
                <w:sz w:val="16"/>
              </w:rPr>
              <w:t>Only bounded student-editable elements needed for the team specialist</w:t>
            </w:r>
          </w:p>
        </w:tc>
        <w:tc>
          <w:tcPr>
            <w:tcW w:type="dxa" w:w="3408"/>
            <w:vAlign w:val="top"/>
          </w:tcPr>
          <w:p>
            <w:r>
              <w:rPr>
                <w:rFonts w:ascii="Arial" w:hAnsi="Arial"/>
                <w:sz w:val="16"/>
              </w:rPr>
              <w:t>Modify FROZEN CORE to accommodate one student's design</w:t>
            </w:r>
          </w:p>
        </w:tc>
      </w:tr>
    </w:tbl>
    <w:p>
      <w:pPr>
        <w:pStyle w:val="Heading1"/>
      </w:pPr>
      <w:r>
        <w:t>Part 1 — Start a Clean Team Workspace</w:t>
      </w:r>
    </w:p>
    <w:p>
      <w:r>
        <w:t>1. One team member starts a new ChatGPT conversation and selects Work above the message box. Use a new Work conversation for each specialist synthesis lab so evidence from different specialties does not become mixed.</w:t>
      </w:r>
    </w:p>
    <w:p>
      <w:r>
        <w:t>2. Upload the canonical frozen scaffold ZIP, the current Team Lab instructions, the matching individual assignment instructions, the required course/source materials, and every team member's completed individual specialist-agent ZIP.</w:t>
      </w:r>
    </w:p>
    <w:p>
      <w:r>
        <w:t>3. Do not ask Work to merge the individual ZIPs. They are evidence and candidate implementations. The team version should be built from a fresh working copy of the canonical scaffold.</w:t>
      </w:r>
    </w:p>
    <w:p>
      <w:pPr>
        <w:pStyle w:val="Heading2"/>
      </w:pPr>
      <w:r>
        <w:t>Initialization instruction to submit in Work:</w:t>
      </w:r>
    </w:p>
    <w:p>
      <w:pPr>
        <w:pStyle w:val="PromptBlock"/>
      </w:pPr>
      <w:r>
        <w:t>Create a fresh team working copy by extracting the uploaded canonical MASY1800 Emerging Technologies frozen scaffold ZIP. Preserve the uploaded original ZIP unchanged. Also extract each student's completed [SPECIALIST NAME] package into a separate comparison area; do not merge those packages into the team scaffold. Confirm that the Team Lab instructions, matching individual assignment instructions, course/source materials, and all candidate packages are available. Identify the root directory of the fresh team working copy. Do not edit anything yet.</w:t>
      </w:r>
    </w:p>
    <w:p>
      <w:pPr>
        <w:pStyle w:val="Heading2"/>
      </w:pPr>
      <w:r>
        <w:t>Run the frozen-core integrity check from the root of the fresh team working copy:</w:t>
      </w:r>
    </w:p>
    <w:p>
      <w:pPr>
        <w:pStyle w:val="PromptBlock"/>
      </w:pPr>
      <w:r>
        <w:t>python tools/check_frozen_core.py</w:t>
      </w:r>
    </w:p>
    <w:p>
      <w:r>
        <w:t>Do not continue if the clean extraction fails the integrity check. Diagnose the problem without changing any frozen file.</w:t>
      </w:r>
    </w:p>
    <w:p>
      <w:pPr>
        <w:pStyle w:val="Heading1"/>
      </w:pPr>
      <w:r>
        <w:t>Part 2 — Inventory Every Individual Contribution</w:t>
      </w:r>
    </w:p>
    <w:p>
      <w:r>
        <w:t>The team should understand the differences before deciding what to keep. Ask Work to build a comparison inventory rather than immediately proposing a merged answer.</w:t>
      </w:r>
    </w:p>
    <w:p>
      <w:pPr>
        <w:pStyle w:val="PromptBlock"/>
      </w:pPr>
      <w:r>
        <w:t>Inspect every uploaded individual [SPECIALIST NAME] package. For each candidate, identify:</w:t>
        <w:br/>
        <w:t>1. specialist purpose and governing question;</w:t>
        <w:br/>
        <w:t>2. files actually changed from the frozen scaffold;</w:t>
        <w:br/>
        <w:t>3. analytical criteria and reasoning sequence;</w:t>
        <w:br/>
        <w:t>4. evidence/source rules;</w:t>
        <w:br/>
        <w:t>5. boundaries and abstention conditions;</w:t>
        <w:br/>
        <w:t>6. primary and contrast test design;</w:t>
        <w:br/>
        <w:t>7. one preserved weakness/failure and the revision made;</w:t>
        <w:br/>
        <w:t>8. remaining limitation;</w:t>
        <w:br/>
        <w:t>9. the student's independent judgment and team-handoff recommendation.</w:t>
        <w:br/>
        <w:t>Flag any candidate that altered FROZEN CORE, changed the common intake/output contract, omitted required evidence, or cannot be traced to test results. Do not edit the team scaffold yet.</w:t>
      </w:r>
    </w:p>
    <w:p>
      <w:r>
        <w:t>Review the inventory as a team. A candidate with an architectural violation may still contain a useful idea, criterion, test, or source rule, but the violation itself must not be inherited.</w:t>
      </w:r>
    </w:p>
    <w:p>
      <w:pPr>
        <w:pStyle w:val="Heading1"/>
      </w:pPr>
      <w:r>
        <w:t>Part 3 — Compare the Candidates on Common Ground</w:t>
      </w:r>
    </w:p>
    <w:p>
      <w:r>
        <w:t>Ask Work to construct a compact comparison matrix. The point is not to score students; it is to expose design differences that require team judgment.</w:t>
      </w:r>
    </w:p>
    <w:p>
      <w:pPr>
        <w:pStyle w:val="PromptBlock"/>
      </w:pPr>
      <w:r>
        <w:t>Create a side-by-side comparison of the candidate [SPECIALIST NAME] agents using these dimensions:</w:t>
        <w:br/>
        <w:t>- bounded specialist responsibility;</w:t>
        <w:br/>
        <w:t>- fidelity to the weekly course framework;</w:t>
        <w:br/>
        <w:t>- clarity and explicitness of analytical criteria;</w:t>
        <w:br/>
        <w:t>- preservation of the three-level ET/application/organization distinction;</w:t>
        <w:br/>
        <w:t>- evidence quality and treatment of contrary evidence;</w:t>
        <w:br/>
        <w:t>- uncertainty, qualification, and abstention behavior;</w:t>
        <w:br/>
        <w:t>- context sensitivity shown by the contrast test;</w:t>
        <w:br/>
        <w:t>- useful failure discovered and quality of the revision;</w:t>
        <w:br/>
        <w:t>- specialist boundaries and handoff to other experts;</w:t>
        <w:br/>
        <w:t>- compatibility with the frozen common input/output contract.</w:t>
        <w:br/>
        <w:t>For each dimension, identify the meaningful differences and cite the candidate evidence that reveals them. Do not choose a winner and do not edit anything yet.</w:t>
      </w:r>
    </w:p>
    <w:p>
      <w:r>
        <w:t>The team now discusses the differences. AI may help expose them, but the team decides what reasoning, evidence rules, tests, and boundaries it accepts.</w:t>
      </w:r>
    </w:p>
    <w:p>
      <w:pPr>
        <w:pStyle w:val="Heading1"/>
      </w:pPr>
      <w:r>
        <w:t>Part 4 — Make a Human Synthesis Decision</w:t>
      </w:r>
    </w:p>
    <w:p>
      <w:r>
        <w:t>Before Work edits the team agent, the team should explicitly decide what it intends to preserve. The team may adopt most of one candidate, combine strong elements from several, or reject weak elements from all and rewrite a bounded portion.</w:t>
      </w:r>
    </w:p>
    <w:p>
      <w:pPr>
        <w:pStyle w:val="Heading2"/>
      </w:pPr>
      <w:r>
        <w:t>Record a short Team Synthesis Decision with:</w:t>
      </w:r>
    </w:p>
    <w:p>
      <w:pPr>
        <w:pStyle w:val="ListBullet"/>
      </w:pPr>
      <w:r>
        <w:t>the strongest element from each candidate that materially deserves consideration;</w:t>
      </w:r>
    </w:p>
    <w:p>
      <w:pPr>
        <w:pStyle w:val="ListBullet"/>
      </w:pPr>
      <w:r>
        <w:t>the criteria/evidence rules the team will preserve;</w:t>
      </w:r>
    </w:p>
    <w:p>
      <w:pPr>
        <w:pStyle w:val="ListBullet"/>
      </w:pPr>
      <w:r>
        <w:t>the tests the team will reuse or improve;</w:t>
      </w:r>
    </w:p>
    <w:p>
      <w:pPr>
        <w:pStyle w:val="ListBullet"/>
      </w:pPr>
      <w:r>
        <w:t>the important limitation or dissent that must remain visible;</w:t>
      </w:r>
    </w:p>
    <w:p>
      <w:pPr>
        <w:pStyle w:val="ListBullet"/>
      </w:pPr>
      <w:r>
        <w:t>any individual design element the team rejects and why;</w:t>
      </w:r>
    </w:p>
    <w:p>
      <w:pPr>
        <w:pStyle w:val="ListBullet"/>
      </w:pPr>
      <w:r>
        <w:t>the team member(s) whose contributions materially shaped the planned version.</w:t>
      </w:r>
    </w:p>
    <w:p>
      <w:pPr>
        <w:pStyle w:val="Heading2"/>
      </w:pPr>
      <w:r>
        <w:t>Then submit this planning instruction:</w:t>
      </w:r>
    </w:p>
    <w:p>
      <w:pPr>
        <w:pStyle w:val="PromptBlock"/>
      </w:pPr>
      <w:r>
        <w:t>Using the team's stated synthesis decisions, propose a change plan for one team-owned [SPECIALIST NAME] agent. Start from the fresh team scaffold, not from any student's full package. Preserve FROZEN CORE and the common intake/output contract. Identify only the student-editable files inside agents/[TEAM_AGENT_SLUG]/ that should be created or edited. Explain what idea or evidence from the individual candidates each proposed change preserves. Wait for team approval before editing.</w:t>
      </w:r>
    </w:p>
    <w:p>
      <w:pPr>
        <w:pStyle w:val="Heading1"/>
      </w:pPr>
      <w:r>
        <w:t>Part 5 — Create the Team-Approved Specialist</w:t>
      </w:r>
    </w:p>
    <w:p>
      <w:r>
        <w:t>After the team approves the plan, create the specialist folder in the fresh team scaffold. Use the same bounded specialty defined by the assignment.</w:t>
      </w:r>
    </w:p>
    <w:p>
      <w:pPr>
        <w:pStyle w:val="PromptBlock"/>
      </w:pPr>
      <w:r>
        <w:t>python tools/new_agent.py [team_agent_slug] "[Team Agent Display Name]" --specialty "[bounded specialist responsibility]"</w:t>
      </w:r>
    </w:p>
    <w:p>
      <w:pPr>
        <w:pStyle w:val="Heading2"/>
      </w:pPr>
      <w:r>
        <w:t>Authorize Work to edit only the new specialist folder. At minimum, complete:</w:t>
      </w:r>
    </w:p>
    <w:p>
      <w:pPr>
        <w:pStyle w:val="ListBullet"/>
      </w:pPr>
      <w:r>
        <w:t>agent_metadata.json — team-approved name, specialty, version, and date;</w:t>
      </w:r>
    </w:p>
    <w:p>
      <w:pPr>
        <w:pStyle w:val="ListBullet"/>
      </w:pPr>
      <w:r>
        <w:t>specialist_instructions.md — governing question, analytical sequence, criteria, evidence rules, three-level context logic, boundaries, abstention conditions, and testing focus;</w:t>
      </w:r>
    </w:p>
    <w:p>
      <w:pPr>
        <w:pStyle w:val="ListBullet"/>
      </w:pPr>
      <w:r>
        <w:t>cases/primary.json — one realistic common management decision;</w:t>
      </w:r>
    </w:p>
    <w:p>
      <w:pPr>
        <w:pStyle w:val="ListBullet"/>
      </w:pPr>
      <w:r>
        <w:t>cases/contrast_1.json — the same ET in a materially different application or organizational context;</w:t>
      </w:r>
    </w:p>
    <w:p>
      <w:pPr>
        <w:pStyle w:val="ListBullet"/>
      </w:pPr>
      <w:r>
        <w:t>cases/contrast_2.json — when the lab requires it or time permits;</w:t>
      </w:r>
    </w:p>
    <w:p>
      <w:pPr>
        <w:pStyle w:val="ListBullet"/>
      </w:pPr>
      <w:r>
        <w:t>records/agent_record.md — team record, including contribution lineage and preserved dissent/limitations.</w:t>
      </w:r>
    </w:p>
    <w:p>
      <w:pPr>
        <w:pStyle w:val="Heading1"/>
      </w:pPr>
      <w:r>
        <w:t>Part 6 — Run One Common Team Test</w:t>
      </w:r>
    </w:p>
    <w:p>
      <w:r>
        <w:t>The team version must be tested after synthesis. Do not assume that combining strong parts automatically creates a stronger agent.</w:t>
      </w:r>
    </w:p>
    <w:p>
      <w:pPr>
        <w:pStyle w:val="Heading2"/>
      </w:pPr>
      <w:r>
        <w:t>Build the prompt packet for the primary case:</w:t>
      </w:r>
    </w:p>
    <w:p>
      <w:pPr>
        <w:pStyle w:val="PromptBlock"/>
      </w:pPr>
      <w:r>
        <w:t>python tools/build_prompt.py --agent agents/[team_agent_slug] --case agents/[team_agent_slug]/cases/primary.json</w:t>
      </w:r>
    </w:p>
    <w:p>
      <w:r>
        <w:t>Run the generated packet in the same Work conversation, require the frozen structured output, save the unedited first team response, and validate it.</w:t>
      </w:r>
    </w:p>
    <w:p>
      <w:pPr>
        <w:pStyle w:val="PromptBlock"/>
      </w:pPr>
      <w:r>
        <w:t>python tools/validate_response.py agents/[team_agent_slug]/responses/primary_response_v1.json</w:t>
      </w:r>
    </w:p>
    <w:p>
      <w:r>
        <w:t>Repeat for contrast_1.json. Compare the two results. Identify at least one conclusion that appropriately remained stable and one that appropriately changed because application or organizational context changed.</w:t>
      </w:r>
    </w:p>
    <w:p>
      <w:pPr>
        <w:pStyle w:val="Heading1"/>
      </w:pPr>
      <w:r>
        <w:t>Part 7 — Diagnose, Revise, and Retest Once</w:t>
      </w:r>
    </w:p>
    <w:p>
      <w:r>
        <w:t>Find one meaningful weakness in the synthesized team agent: generic analysis, unsupported evidence, overconfidence, poor contextual sensitivity, unclear boundary, inconsistent criterion, or another consequential problem.</w:t>
      </w:r>
    </w:p>
    <w:p>
      <w:r>
        <w:t>Revise the smallest appropriate student-editable element. Rerun the same case so the before-and-after evidence is comparable. Preserve both the initial weak result and the accepted revised result.</w:t>
      </w:r>
    </w:p>
    <w:p>
      <w:r>
        <w:t>A documented limitation is an acceptable result. Concealing a limitation, inventing evidence, or changing the test to manufacture success is not.</w:t>
      </w:r>
    </w:p>
    <w:p>
      <w:pPr>
        <w:pStyle w:val="Heading1"/>
      </w:pPr>
      <w:r>
        <w:t>Part 8 — Complete the Team Agent Record</w:t>
      </w:r>
    </w:p>
    <w:p>
      <w:pPr>
        <w:pStyle w:val="Heading2"/>
      </w:pPr>
      <w:r>
        <w:t>The team record should include:</w:t>
      </w:r>
    </w:p>
    <w:p>
      <w:pPr>
        <w:pStyle w:val="ListBullet"/>
      </w:pPr>
      <w:r>
        <w:t>team name, specialist, date, scaffold version, team-agent version, and final ZIP filename;</w:t>
      </w:r>
    </w:p>
    <w:p>
      <w:pPr>
        <w:pStyle w:val="ListBullet"/>
      </w:pPr>
      <w:r>
        <w:t>the governing question and primary case context;</w:t>
      </w:r>
    </w:p>
    <w:p>
      <w:pPr>
        <w:pStyle w:val="ListBullet"/>
      </w:pPr>
      <w:r>
        <w:t>the team-approved general ET, application-specific, and organization-specific logic;</w:t>
      </w:r>
    </w:p>
    <w:p>
      <w:pPr>
        <w:pStyle w:val="ListBullet"/>
      </w:pPr>
      <w:r>
        <w:t>the most important evidence rules and contrary-evidence treatment;</w:t>
      </w:r>
    </w:p>
    <w:p>
      <w:pPr>
        <w:pStyle w:val="ListBullet"/>
      </w:pPr>
      <w:r>
        <w:t>the primary and contrast results, including what stayed stable and what changed;</w:t>
      </w:r>
    </w:p>
    <w:p>
      <w:pPr>
        <w:pStyle w:val="ListBullet"/>
      </w:pPr>
      <w:r>
        <w:t>the weakness found after synthesis, the revision made, and the remaining limitation/abstention condition;</w:t>
      </w:r>
    </w:p>
    <w:p>
      <w:pPr>
        <w:pStyle w:val="ListBullet"/>
      </w:pPr>
      <w:r>
        <w:t>which individual contributions materially shaped the team version and what was not adopted;</w:t>
      </w:r>
    </w:p>
    <w:p>
      <w:pPr>
        <w:pStyle w:val="ListBullet"/>
      </w:pPr>
      <w:r>
        <w:t>any meaningful dissent or minority concern that remains;</w:t>
      </w:r>
    </w:p>
    <w:p>
      <w:pPr>
        <w:pStyle w:val="ListBullet"/>
      </w:pPr>
      <w:r>
        <w:t>the team's judgment about whether this specialist is credible enough to enter the final MoE integration stage;</w:t>
      </w:r>
    </w:p>
    <w:p>
      <w:pPr>
        <w:pStyle w:val="ListBullet"/>
      </w:pPr>
      <w:r>
        <w:t>how AI materially helped and how consequential factual or technical guidance was checked.</w:t>
      </w:r>
    </w:p>
    <w:p>
      <w:pPr>
        <w:pStyle w:val="Heading1"/>
      </w:pPr>
      <w:r>
        <w:t>Part 9 — Final Integrity Check, Package, and Handoff</w:t>
      </w:r>
    </w:p>
    <w:p>
      <w:pPr>
        <w:pStyle w:val="Heading2"/>
      </w:pPr>
      <w:r>
        <w:t>Run the frozen-core check again:</w:t>
      </w:r>
    </w:p>
    <w:p>
      <w:pPr>
        <w:pStyle w:val="PromptBlock"/>
      </w:pPr>
      <w:r>
        <w:t>python tools/check_frozen_core.py</w:t>
      </w:r>
    </w:p>
    <w:p>
      <w:r>
        <w:t>Ask Work to inventory the completed team specialist and confirm that its cases, prompt packets, responses, validation results, revision evidence, and Agent Record are present.</w:t>
      </w:r>
    </w:p>
    <w:p>
      <w:pPr>
        <w:pStyle w:val="Heading2"/>
      </w:pPr>
      <w:r>
        <w:t>Packaging instruction:</w:t>
      </w:r>
    </w:p>
    <w:p>
      <w:pPr>
        <w:pStyle w:val="PromptBlock"/>
      </w:pPr>
      <w:r>
        <w:t>Package the entire completed team working scaffold as Team_[TeamName]_[SpecialistName]_v[VERSION].zip and provide it as a downloadable file. Preserve the folder structure. Do not place the original frozen scaffold ZIP or the students' original individual ZIPs inside the completed team ZIP. Include only the team-approved specialist, its evidence, and the common scaffold needed for later integration. Confirm the final ZIP filename and list the evidence it contains.</w:t>
      </w:r>
    </w:p>
    <w:p>
      <w:r>
        <w:t>Download the ZIP before leaving the Work conversation. Confirm that the ZIP opens, that agents/[team_agent_slug]/ is present, and that the frozen-core check passed.</w:t>
      </w:r>
    </w:p>
    <w:p>
      <w:pPr>
        <w:pStyle w:val="Heading1"/>
      </w:pPr>
      <w:r>
        <w:t>What the Team Hands Forward to the Final MoE Project</w:t>
      </w:r>
    </w:p>
    <w:tbl>
      <w:tblPr>
        <w:tblStyle w:val="TableGrid"/>
        <w:tblW w:type="auto" w:w="0"/>
        <w:jc w:val="center"/>
        <w:tblLook w:firstColumn="1" w:firstRow="1" w:lastColumn="0" w:lastRow="0" w:noHBand="0" w:noVBand="1" w:val="04A0"/>
      </w:tblPr>
      <w:tblGrid>
        <w:gridCol w:w="5112"/>
        <w:gridCol w:w="5112"/>
      </w:tblGrid>
      <w:tr>
        <w:tc>
          <w:tcPr>
            <w:tcW w:type="dxa" w:w="5112"/>
          </w:tcPr>
          <w:p>
            <w:r>
              <w:rPr>
                <w:rFonts w:ascii="Arial" w:hAnsi="Arial"/>
                <w:sz w:val="16"/>
              </w:rPr>
              <w:t>Required handoff</w:t>
            </w:r>
          </w:p>
        </w:tc>
        <w:tc>
          <w:tcPr>
            <w:tcW w:type="dxa" w:w="5112"/>
          </w:tcPr>
          <w:p>
            <w:r>
              <w:rPr>
                <w:rFonts w:ascii="Arial" w:hAnsi="Arial"/>
                <w:sz w:val="16"/>
              </w:rPr>
              <w:t>Minimum evidence</w:t>
            </w:r>
          </w:p>
        </w:tc>
      </w:tr>
      <w:tr>
        <w:tc>
          <w:tcPr>
            <w:tcW w:type="dxa" w:w="5112"/>
          </w:tcPr>
          <w:p>
            <w:r>
              <w:rPr>
                <w:rFonts w:ascii="Arial" w:hAnsi="Arial"/>
                <w:sz w:val="16"/>
              </w:rPr>
              <w:t>Team-approved specialist</w:t>
            </w:r>
          </w:p>
        </w:tc>
        <w:tc>
          <w:tcPr>
            <w:tcW w:type="dxa" w:w="5112"/>
          </w:tcPr>
          <w:p>
            <w:r>
              <w:rPr>
                <w:rFonts w:ascii="Arial" w:hAnsi="Arial"/>
                <w:sz w:val="16"/>
              </w:rPr>
              <w:t>One bounded specialist agent created from the fresh scaffold.</w:t>
            </w:r>
          </w:p>
        </w:tc>
      </w:tr>
      <w:tr>
        <w:tc>
          <w:tcPr>
            <w:tcW w:type="dxa" w:w="5112"/>
          </w:tcPr>
          <w:p>
            <w:r>
              <w:rPr>
                <w:rFonts w:ascii="Arial" w:hAnsi="Arial"/>
                <w:sz w:val="16"/>
              </w:rPr>
              <w:t>Synthesis lineage</w:t>
            </w:r>
          </w:p>
        </w:tc>
        <w:tc>
          <w:tcPr>
            <w:tcW w:type="dxa" w:w="5112"/>
          </w:tcPr>
          <w:p>
            <w:r>
              <w:rPr>
                <w:rFonts w:ascii="Arial" w:hAnsi="Arial"/>
                <w:sz w:val="16"/>
              </w:rPr>
              <w:t>A record of which candidate ideas materially survived, what was rejected, and why.</w:t>
            </w:r>
          </w:p>
        </w:tc>
      </w:tr>
      <w:tr>
        <w:tc>
          <w:tcPr>
            <w:tcW w:type="dxa" w:w="5112"/>
          </w:tcPr>
          <w:p>
            <w:r>
              <w:rPr>
                <w:rFonts w:ascii="Arial" w:hAnsi="Arial"/>
                <w:sz w:val="16"/>
              </w:rPr>
              <w:t>Common tests</w:t>
            </w:r>
          </w:p>
        </w:tc>
        <w:tc>
          <w:tcPr>
            <w:tcW w:type="dxa" w:w="5112"/>
          </w:tcPr>
          <w:p>
            <w:r>
              <w:rPr>
                <w:rFonts w:ascii="Arial" w:hAnsi="Arial"/>
                <w:sz w:val="16"/>
              </w:rPr>
              <w:t>Primary and contrast cases with before/after evidence and validation.</w:t>
            </w:r>
          </w:p>
        </w:tc>
      </w:tr>
      <w:tr>
        <w:tc>
          <w:tcPr>
            <w:tcW w:type="dxa" w:w="5112"/>
          </w:tcPr>
          <w:p>
            <w:r>
              <w:rPr>
                <w:rFonts w:ascii="Arial" w:hAnsi="Arial"/>
                <w:sz w:val="16"/>
              </w:rPr>
              <w:t>Preserved limitation</w:t>
            </w:r>
          </w:p>
        </w:tc>
        <w:tc>
          <w:tcPr>
            <w:tcW w:type="dxa" w:w="5112"/>
          </w:tcPr>
          <w:p>
            <w:r>
              <w:rPr>
                <w:rFonts w:ascii="Arial" w:hAnsi="Arial"/>
                <w:sz w:val="16"/>
              </w:rPr>
              <w:t>At least one meaningful weakness, uncertainty, abstention condition, or dissent.</w:t>
            </w:r>
          </w:p>
        </w:tc>
      </w:tr>
      <w:tr>
        <w:tc>
          <w:tcPr>
            <w:tcW w:type="dxa" w:w="5112"/>
          </w:tcPr>
          <w:p>
            <w:r>
              <w:rPr>
                <w:rFonts w:ascii="Arial" w:hAnsi="Arial"/>
                <w:sz w:val="16"/>
              </w:rPr>
              <w:t>Team Agent Record</w:t>
            </w:r>
          </w:p>
        </w:tc>
        <w:tc>
          <w:tcPr>
            <w:tcW w:type="dxa" w:w="5112"/>
          </w:tcPr>
          <w:p>
            <w:r>
              <w:rPr>
                <w:rFonts w:ascii="Arial" w:hAnsi="Arial"/>
                <w:sz w:val="16"/>
              </w:rPr>
              <w:t>Three-level logic, evidence rules, tests, revision, judgment, contribution lineage, and AI/verification note.</w:t>
            </w:r>
          </w:p>
        </w:tc>
      </w:tr>
      <w:tr>
        <w:tc>
          <w:tcPr>
            <w:tcW w:type="dxa" w:w="5112"/>
          </w:tcPr>
          <w:p>
            <w:r>
              <w:rPr>
                <w:rFonts w:ascii="Arial" w:hAnsi="Arial"/>
                <w:sz w:val="16"/>
              </w:rPr>
              <w:t>Integration note</w:t>
            </w:r>
          </w:p>
        </w:tc>
        <w:tc>
          <w:tcPr>
            <w:tcW w:type="dxa" w:w="5112"/>
          </w:tcPr>
          <w:p>
            <w:r>
              <w:rPr>
                <w:rFonts w:ascii="Arial" w:hAnsi="Arial"/>
                <w:sz w:val="16"/>
              </w:rPr>
              <w:t>What this specialist expects from the common input, what it returns under the common output contract, and what questions belong to other specialists.</w:t>
            </w:r>
          </w:p>
        </w:tc>
      </w:tr>
    </w:tbl>
    <w:p>
      <w:pPr>
        <w:pStyle w:val="Heading1"/>
      </w:pPr>
      <w:r>
        <w:t>Completion Standard</w:t>
      </w:r>
    </w:p>
    <w:p>
      <w:r>
        <w:t>The team lab is complete when the team has compared every candidate at a level sufficient to understand its design and evidence; made an explicit human synthesis decision; created one team-owned specialist from a fresh canonical scaffold; preserved the frozen core and common contracts; demonstrated appropriate stability and context sensitivity on common tests; recorded one meaningful revision cycle, limitation, and contribution lineage; and packaged the completed specialist as a downloadable ZIP ready for later mixture-of-experts integration.</w:t>
      </w:r>
    </w:p>
    <w:sectPr w:rsidR="00FC693F" w:rsidRPr="0006063C" w:rsidSect="00034616">
      <w:headerReference w:type="default" r:id="rId9"/>
      <w:footerReference w:type="default" r:id="rId10"/>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5"/>
      </w:rPr>
      <w:t>Team Specialist Agent Synthesis in ChatGPT Work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sz w:val="15"/>
      </w:rPr>
      <w:t>NYU SPS | MASY1-GC 1800 | EMERGING TECHNOLOGIES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5B009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5B009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5B00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Block">
    <w:name w:val="Prompt Block"/>
    <w:pPr>
      <w:spacing w:before="60" w:after="60"/>
      <w:ind w:left="317" w:right="144"/>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