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E293B"/>
          <w:sz w:val="36"/>
          <w:szCs w:val="36"/>
        </w:rPr>
        <w:t xml:space="preserve">Clinical Decision Making and Pattern Recognition in Health Care</w:t>
      </w:r>
    </w:p>
    <w:p>
      <w:pPr>
        <w:spacing w:after="60" w:before="0"/>
        <w:jc w:val="center"/>
      </w:pPr>
      <w:r>
        <w:rPr>
          <w:rFonts w:ascii="Calibri" w:cs="Calibri" w:eastAsia="Calibri" w:hAnsi="Calibri"/>
          <w:color w:val="64748B"/>
          <w:sz w:val="24"/>
          <w:szCs w:val="24"/>
        </w:rPr>
        <w:t xml:space="preserve">Agentic Generative AI for Prior Authorization — Opportunities, Threats, and Strategic Recommendations for Cotiviti</w:t>
      </w:r>
    </w:p>
    <w:p>
      <w:pPr>
        <w:spacing w:after="40" w:before="0"/>
        <w:jc w:val="center"/>
      </w:pPr>
      <w:r>
        <w:rPr>
          <w:rFonts w:ascii="Calibri" w:cs="Calibri" w:eastAsia="Calibri" w:hAnsi="Calibri"/>
          <w:color w:val="1E293B"/>
          <w:sz w:val="22"/>
          <w:szCs w:val="22"/>
        </w:rPr>
        <w:t xml:space="preserve">Sushmitha Urs  |  Northeastern University  |  M.S. Analytics &amp; Artificial Intelligence</w:t>
      </w:r>
    </w:p>
    <w:p>
      <w:pPr>
        <w:pBdr>
          <w:bottom w:val="single" w:color="1D4ED8" w:sz="6" w:space="4"/>
        </w:pBdr>
        <w:spacing w:after="240" w:before="0"/>
        <w:jc w:val="center"/>
      </w:pPr>
      <w:r>
        <w:rPr>
          <w:rFonts w:ascii="Calibri" w:cs="Calibri" w:eastAsia="Calibri" w:hAnsi="Calibri"/>
          <w:color w:val="64748B"/>
          <w:sz w:val="20"/>
          <w:szCs w:val="20"/>
        </w:rPr>
        <w:t xml:space="preserve">Cotiviti Internship Assessment  —  Topic 2  |  June 2026</w:t>
      </w:r>
    </w:p>
    <w:p>
      <w:pPr>
        <w:pStyle w:val="Heading1"/>
        <w:pBdr>
          <w:bottom w:val="single" w:color="1D4ED8" w:sz="6" w:space="4"/>
        </w:pBdr>
        <w:spacing w:after="100" w:before="280"/>
      </w:pPr>
      <w:r>
        <w:rPr>
          <w:rFonts w:ascii="Calibri" w:cs="Calibri" w:eastAsia="Calibri" w:hAnsi="Calibri"/>
          <w:b/>
          <w:bCs/>
          <w:color w:val="1E293B"/>
          <w:sz w:val="28"/>
          <w:szCs w:val="28"/>
        </w:rPr>
        <w:t xml:space="preserve">1. Defining the Topic: Clinical Decision Making and Agentic AI</w:t>
      </w:r>
    </w:p>
    <w:p>
      <w:pPr>
        <w:spacing w:after="80" w:before="80" w:line="276"/>
        <w:jc w:val="both"/>
      </w:pPr>
      <w:r>
        <w:rPr>
          <w:rFonts w:ascii="Calibri" w:cs="Calibri" w:eastAsia="Calibri" w:hAnsi="Calibri"/>
          <w:color w:val="1E293B"/>
          <w:sz w:val="22"/>
          <w:szCs w:val="22"/>
        </w:rPr>
        <w:t xml:space="preserve">Clinical decision making in healthcare refers to the structured process by which clinicians, payers, and administrators evaluate patient data against established medical criteria to determine appropriate treatments, authorize payments, and optimize operations. Historically, this process has relied on human reviewers applying rule-based criteria to voluminous clinical documentation — a method that is slow, inconsistent, and difficult to scale. The emergence of Agentic Generative AI — AI systems capable of autonomous reasoning, multi-step decision chains, and goal-directed behavior — represents a fundamental shift in how these decisions can be made.</w:t>
      </w:r>
    </w:p>
    <w:p>
      <w:pPr>
        <w:spacing w:after="40" w:before="0"/>
      </w:pPr>
      <w:r>
        <w:t xml:space="preserve"/>
      </w:r>
    </w:p>
    <w:p>
      <w:pPr>
        <w:spacing w:after="80" w:before="80" w:line="276"/>
        <w:jc w:val="both"/>
      </w:pPr>
      <w:r>
        <w:rPr>
          <w:rFonts w:ascii="Calibri" w:cs="Calibri" w:eastAsia="Calibri" w:hAnsi="Calibri"/>
          <w:color w:val="1E293B"/>
          <w:sz w:val="22"/>
          <w:szCs w:val="22"/>
        </w:rPr>
        <w:t xml:space="preserve">An agentic AI system differs from a standard large language model (LLM) in that it does not merely respond to prompts; it reasons through a defined workflow, takes actions, and produces traceable outputs. In the context of healthcare's Treatment, Payment, and Operations (TPO) framework, agentic AI can be applied to prior authorization, claims adjudication, clinical documentation review, and anomaly detection in billing data. This report focuses specifically on prior authorization — the insurance industry's gateway process for approving or denying coverage for requested medical services — as a primary demonstration domain.</w:t>
      </w:r>
    </w:p>
    <w:p>
      <w:pPr>
        <w:spacing w:after="40" w:before="0"/>
      </w:pPr>
      <w:r>
        <w:t xml:space="preserve"/>
      </w:r>
    </w:p>
    <w:p>
      <w:pPr>
        <w:spacing w:after="80" w:before="80" w:line="276"/>
        <w:jc w:val="both"/>
      </w:pPr>
      <w:r>
        <w:rPr>
          <w:rFonts w:ascii="Calibri" w:cs="Calibri" w:eastAsia="Calibri" w:hAnsi="Calibri"/>
          <w:color w:val="1E293B"/>
          <w:sz w:val="22"/>
          <w:szCs w:val="22"/>
        </w:rPr>
        <w:t xml:space="preserve">The proof-of-concept (POC) built for this assessment implements a four-node LangGraph agent pipeline. The pipeline uses Retrieval-Augmented Generation (RAG) to ground every decision in a real payer policy document, then applies chain-of-thought reasoning to evaluate coverage criteria criterion by criterion, producing an APPROVED, DENIED, or PENDING — MORE INFO NEEDED decision with a full written justification. The system was tested on three clinical scenarios drawn from real-world prior authorization contexts: continuous glucose monitoring for a diabetic patient, lumbar MRI for non-specific back pain, and adalimumab biologic therapy for rheumatoid arthritis.</w:t>
      </w:r>
    </w:p>
    <w:p>
      <w:pPr>
        <w:spacing w:after="80" w:before="0"/>
      </w:pPr>
      <w:r>
        <w:t xml:space="preserve"/>
      </w:r>
    </w:p>
    <w:p>
      <w:pPr>
        <w:pStyle w:val="Heading1"/>
        <w:pBdr>
          <w:bottom w:val="single" w:color="1D4ED8" w:sz="6" w:space="4"/>
        </w:pBdr>
        <w:spacing w:after="100" w:before="280"/>
      </w:pPr>
      <w:r>
        <w:rPr>
          <w:rFonts w:ascii="Calibri" w:cs="Calibri" w:eastAsia="Calibri" w:hAnsi="Calibri"/>
          <w:b/>
          <w:bCs/>
          <w:color w:val="1E293B"/>
          <w:sz w:val="28"/>
          <w:szCs w:val="28"/>
        </w:rPr>
        <w:t xml:space="preserve">2. Trends in Agentic AI for Healthcare TPO</w:t>
      </w:r>
    </w:p>
    <w:p>
      <w:pPr>
        <w:pStyle w:val="Heading2"/>
        <w:spacing w:after="80" w:before="200"/>
      </w:pPr>
      <w:r>
        <w:rPr>
          <w:rFonts w:ascii="Calibri" w:cs="Calibri" w:eastAsia="Calibri" w:hAnsi="Calibri"/>
          <w:b/>
          <w:bCs/>
          <w:color w:val="1D4ED8"/>
          <w:sz w:val="24"/>
          <w:szCs w:val="24"/>
        </w:rPr>
        <w:t xml:space="preserve">2.1 The Rise of LLM-Powered Clinical Reasoning</w:t>
      </w:r>
    </w:p>
    <w:p>
      <w:pPr>
        <w:spacing w:after="80" w:before="80" w:line="276"/>
        <w:jc w:val="both"/>
      </w:pPr>
      <w:r>
        <w:rPr>
          <w:rFonts w:ascii="Calibri" w:cs="Calibri" w:eastAsia="Calibri" w:hAnsi="Calibri"/>
          <w:color w:val="1E293B"/>
          <w:sz w:val="22"/>
          <w:szCs w:val="22"/>
        </w:rPr>
        <w:t xml:space="preserve">Large language models have demonstrated strong performance on clinical reasoning benchmarks, with models such as GPT-4 and Med-PaLM 2 achieving near-physician accuracy on USMLE licensing examinations (Singhal et al., 2023; OpenAI, 2023). However, raw LLM performance on benchmarks does not directly translate to production-grade healthcare decision support. The key challenges are traceability, auditability, and policy grounding — requirements that standard LLMs fail to meet on their own.</w:t>
      </w:r>
    </w:p>
    <w:p>
      <w:pPr>
        <w:spacing w:after="40" w:before="0"/>
      </w:pPr>
      <w:r>
        <w:t xml:space="preserve"/>
      </w:r>
    </w:p>
    <w:p>
      <w:pPr>
        <w:spacing w:after="80" w:before="80" w:line="276"/>
        <w:jc w:val="both"/>
      </w:pPr>
      <w:r>
        <w:rPr>
          <w:rFonts w:ascii="Calibri" w:cs="Calibri" w:eastAsia="Calibri" w:hAnsi="Calibri"/>
          <w:color w:val="1E293B"/>
          <w:sz w:val="22"/>
          <w:szCs w:val="22"/>
        </w:rPr>
        <w:t xml:space="preserve">Retrieval-Augmented Generation (RAG) has emerged as the leading architecture for addressing these gaps. By coupling LLM reasoning with a retrieval layer that fetches relevant policy documents, clinical guidelines, or patient history, RAG-powered systems produce outputs that are both contextually accurate and traceable to specific source documents (Lewis et al., 2020). This is particularly critical in prior authorization, where payers must defend decisions against regulatory scrutiny.</w:t>
      </w:r>
    </w:p>
    <w:p>
      <w:pPr>
        <w:spacing w:after="40" w:before="0"/>
      </w:pPr>
      <w:r>
        <w:t xml:space="preserve"/>
      </w:r>
    </w:p>
    <w:p>
      <w:pPr>
        <w:pStyle w:val="Heading2"/>
        <w:spacing w:after="80" w:before="200"/>
      </w:pPr>
      <w:r>
        <w:rPr>
          <w:rFonts w:ascii="Calibri" w:cs="Calibri" w:eastAsia="Calibri" w:hAnsi="Calibri"/>
          <w:b/>
          <w:bCs/>
          <w:color w:val="1D4ED8"/>
          <w:sz w:val="24"/>
          <w:szCs w:val="24"/>
        </w:rPr>
        <w:t xml:space="preserve">2.2 LangGraph and Multi-Agent Orchestration</w:t>
      </w:r>
    </w:p>
    <w:p>
      <w:pPr>
        <w:spacing w:after="80" w:before="80" w:line="276"/>
        <w:jc w:val="both"/>
      </w:pPr>
      <w:r>
        <w:rPr>
          <w:rFonts w:ascii="Calibri" w:cs="Calibri" w:eastAsia="Calibri" w:hAnsi="Calibri"/>
          <w:color w:val="1E293B"/>
          <w:sz w:val="22"/>
          <w:szCs w:val="22"/>
        </w:rPr>
        <w:t xml:space="preserve">The adoption of graph-based agentic frameworks such as LangGraph has accelerated significantly in 2024–2025. Unlike single-pass LLM calls, LangGraph enables developers to define stateful, multi-node pipelines where each node performs a discrete reasoning task and passes structured state to the next. This architecture mirrors the sequential logic of clinical decision workflows: intake, policy lookup, criteria evaluation, and determination. The ability to add conditional branching, human-in-the-loop checkpoints, and tool-calling within the same graph makes LangGraph well-suited for healthcare applications where compliance and auditability are non-negotiable.</w:t>
      </w:r>
    </w:p>
    <w:p>
      <w:pPr>
        <w:spacing w:after="40" w:before="0"/>
      </w:pPr>
      <w:r>
        <w:t xml:space="preserve"/>
      </w:r>
    </w:p>
    <w:p>
      <w:pPr>
        <w:pStyle w:val="Heading2"/>
        <w:spacing w:after="80" w:before="200"/>
      </w:pPr>
      <w:r>
        <w:rPr>
          <w:rFonts w:ascii="Calibri" w:cs="Calibri" w:eastAsia="Calibri" w:hAnsi="Calibri"/>
          <w:b/>
          <w:bCs/>
          <w:color w:val="1D4ED8"/>
          <w:sz w:val="24"/>
          <w:szCs w:val="24"/>
        </w:rPr>
        <w:t xml:space="preserve">2.3 The Prior Authorization Crisis</w:t>
      </w:r>
    </w:p>
    <w:p>
      <w:pPr>
        <w:spacing w:after="80" w:before="80" w:line="276"/>
        <w:jc w:val="both"/>
      </w:pPr>
      <w:r>
        <w:rPr>
          <w:rFonts w:ascii="Calibri" w:cs="Calibri" w:eastAsia="Calibri" w:hAnsi="Calibri"/>
          <w:color w:val="1E293B"/>
          <w:sz w:val="22"/>
          <w:szCs w:val="22"/>
        </w:rPr>
        <w:t xml:space="preserve">The American Medical Association’s 2023 Prior Authorization Physician Survey reported that 94% of physicians experience patient care delays due to prior authorization requirements, and that physicians spend an average of 40 or more hours per week on prior authorization paperwork. Furthermore, 35% of initially denied prior authorization requests are eventually approved upon appeal, suggesting significant inconsistency in the manual review process (American Medical Association, 2023). These figures represent both a patient safety concern and a substantial operational cost for payers and providers alike.</w:t>
      </w:r>
    </w:p>
    <w:p>
      <w:pPr>
        <w:spacing w:after="80" w:before="0"/>
      </w:pPr>
      <w:r>
        <w:t xml:space="preserve"/>
      </w:r>
    </w:p>
    <w:p>
      <w:pPr>
        <w:pStyle w:val="Heading1"/>
        <w:pBdr>
          <w:bottom w:val="single" w:color="1D4ED8" w:sz="6" w:space="4"/>
        </w:pBdr>
        <w:spacing w:after="100" w:before="280"/>
      </w:pPr>
      <w:r>
        <w:rPr>
          <w:rFonts w:ascii="Calibri" w:cs="Calibri" w:eastAsia="Calibri" w:hAnsi="Calibri"/>
          <w:b/>
          <w:bCs/>
          <w:color w:val="1E293B"/>
          <w:sz w:val="28"/>
          <w:szCs w:val="28"/>
        </w:rPr>
        <w:t xml:space="preserve">3. Opportunities and Threats</w:t>
      </w:r>
    </w:p>
    <w:p>
      <w:pPr>
        <w:pStyle w:val="Heading2"/>
        <w:spacing w:after="80" w:before="200"/>
      </w:pPr>
      <w:r>
        <w:rPr>
          <w:rFonts w:ascii="Calibri" w:cs="Calibri" w:eastAsia="Calibri" w:hAnsi="Calibri"/>
          <w:b/>
          <w:bCs/>
          <w:color w:val="1D4ED8"/>
          <w:sz w:val="24"/>
          <w:szCs w:val="24"/>
        </w:rPr>
        <w:t xml:space="preserve">3.1 Opportunities for Cotiviti</w:t>
      </w:r>
    </w:p>
    <w:p>
      <w:pPr>
        <w:pStyle w:val="ListParagraph"/>
        <w:numPr>
          <w:ilvl w:val="0"/>
          <w:numId w:val="2"/>
        </w:numPr>
        <w:spacing w:after="40" w:before="40"/>
      </w:pPr>
      <w:r>
        <w:rPr>
          <w:rFonts w:ascii="Calibri" w:cs="Calibri" w:eastAsia="Calibri" w:hAnsi="Calibri"/>
          <w:color w:val="1E293B"/>
          <w:sz w:val="22"/>
          <w:szCs w:val="22"/>
        </w:rPr>
        <w:t xml:space="preserve">Scale and efficiency: An agentic prior authorization system can process thousands of cases simultaneously, reducing turnaround time from days to seconds and eliminating the headcount bottleneck in payer operations.</w:t>
      </w:r>
    </w:p>
    <w:p>
      <w:pPr>
        <w:pStyle w:val="ListParagraph"/>
        <w:numPr>
          <w:ilvl w:val="0"/>
          <w:numId w:val="2"/>
        </w:numPr>
        <w:spacing w:after="40" w:before="40"/>
      </w:pPr>
      <w:r>
        <w:rPr>
          <w:rFonts w:ascii="Calibri" w:cs="Calibri" w:eastAsia="Calibri" w:hAnsi="Calibri"/>
          <w:color w:val="1E293B"/>
          <w:sz w:val="22"/>
          <w:szCs w:val="22"/>
        </w:rPr>
        <w:t xml:space="preserve">Consistency and fairness: Policy-grounded AI decisions remove reviewer-dependent variability, ensuring that identical clinical presentations receive identical evaluations regardless of who reviews them.</w:t>
      </w:r>
    </w:p>
    <w:p>
      <w:pPr>
        <w:pStyle w:val="ListParagraph"/>
        <w:numPr>
          <w:ilvl w:val="0"/>
          <w:numId w:val="2"/>
        </w:numPr>
        <w:spacing w:after="40" w:before="40"/>
      </w:pPr>
      <w:r>
        <w:rPr>
          <w:rFonts w:ascii="Calibri" w:cs="Calibri" w:eastAsia="Calibri" w:hAnsi="Calibri"/>
          <w:color w:val="1E293B"/>
          <w:sz w:val="22"/>
          <w:szCs w:val="22"/>
        </w:rPr>
        <w:t xml:space="preserve">Auditability and compliance: RAG-based retrieval produces decisions that cite specific policy clauses, making every determination defensible in regulatory audits or appeals processes.</w:t>
      </w:r>
    </w:p>
    <w:p>
      <w:pPr>
        <w:pStyle w:val="ListParagraph"/>
        <w:numPr>
          <w:ilvl w:val="0"/>
          <w:numId w:val="2"/>
        </w:numPr>
        <w:spacing w:after="40" w:before="40"/>
      </w:pPr>
      <w:r>
        <w:rPr>
          <w:rFonts w:ascii="Calibri" w:cs="Calibri" w:eastAsia="Calibri" w:hAnsi="Calibri"/>
          <w:color w:val="1E293B"/>
          <w:sz w:val="22"/>
          <w:szCs w:val="22"/>
        </w:rPr>
        <w:t xml:space="preserve">Expansion to payment integrity: The same agentic framework can be extended to flag upcoding, duplicate claims, and time-series anomalies in claims data, directly supporting Cotiviti’s core TPO mission.</w:t>
      </w:r>
    </w:p>
    <w:p>
      <w:pPr>
        <w:pStyle w:val="ListParagraph"/>
        <w:numPr>
          <w:ilvl w:val="0"/>
          <w:numId w:val="2"/>
        </w:numPr>
        <w:spacing w:after="40" w:before="40"/>
      </w:pPr>
      <w:r>
        <w:rPr>
          <w:rFonts w:ascii="Calibri" w:cs="Calibri" w:eastAsia="Calibri" w:hAnsi="Calibri"/>
          <w:color w:val="1E293B"/>
          <w:sz w:val="22"/>
          <w:szCs w:val="22"/>
        </w:rPr>
        <w:t xml:space="preserve">Monetization opportunity: A production-grade prior authorization agent could be packaged as a SaaS module and licensed to Cotiviti’s payer clients, creating a new revenue stream.</w:t>
      </w:r>
    </w:p>
    <w:p>
      <w:pPr>
        <w:spacing w:after="40" w:before="0"/>
      </w:pPr>
      <w:r>
        <w:t xml:space="preserve"/>
      </w:r>
    </w:p>
    <w:p>
      <w:pPr>
        <w:pStyle w:val="Heading2"/>
        <w:spacing w:after="80" w:before="200"/>
      </w:pPr>
      <w:r>
        <w:rPr>
          <w:rFonts w:ascii="Calibri" w:cs="Calibri" w:eastAsia="Calibri" w:hAnsi="Calibri"/>
          <w:b/>
          <w:bCs/>
          <w:color w:val="1D4ED8"/>
          <w:sz w:val="24"/>
          <w:szCs w:val="24"/>
        </w:rPr>
        <w:t xml:space="preserve">3.2 Threats and Risk Factors</w:t>
      </w:r>
    </w:p>
    <w:p>
      <w:pPr>
        <w:pStyle w:val="ListParagraph"/>
        <w:numPr>
          <w:ilvl w:val="0"/>
          <w:numId w:val="2"/>
        </w:numPr>
        <w:spacing w:after="40" w:before="40"/>
      </w:pPr>
      <w:r>
        <w:rPr>
          <w:rFonts w:ascii="Calibri" w:cs="Calibri" w:eastAsia="Calibri" w:hAnsi="Calibri"/>
          <w:color w:val="1E293B"/>
          <w:sz w:val="22"/>
          <w:szCs w:val="22"/>
        </w:rPr>
        <w:t xml:space="preserve">Regulatory and liability risk: AI-generated clinical decisions in healthcare are subject to evolving regulatory frameworks. Incorrect denials create legal exposure, and current CMS and state insurance regulations require human accountability for coverage determinations.</w:t>
      </w:r>
    </w:p>
    <w:p>
      <w:pPr>
        <w:pStyle w:val="ListParagraph"/>
        <w:numPr>
          <w:ilvl w:val="0"/>
          <w:numId w:val="2"/>
        </w:numPr>
        <w:spacing w:after="40" w:before="40"/>
      </w:pPr>
      <w:r>
        <w:rPr>
          <w:rFonts w:ascii="Calibri" w:cs="Calibri" w:eastAsia="Calibri" w:hAnsi="Calibri"/>
          <w:color w:val="1E293B"/>
          <w:sz w:val="22"/>
          <w:szCs w:val="22"/>
        </w:rPr>
        <w:t xml:space="preserve">Hallucination and misinterpretation: LLMs can misinterpret ambiguous clinical language, generating plausible but clinically incorrect reasoning. This risk is mitigated by RAG but not eliminated.</w:t>
      </w:r>
    </w:p>
    <w:p>
      <w:pPr>
        <w:pStyle w:val="ListParagraph"/>
        <w:numPr>
          <w:ilvl w:val="0"/>
          <w:numId w:val="2"/>
        </w:numPr>
        <w:spacing w:after="40" w:before="40"/>
      </w:pPr>
      <w:r>
        <w:rPr>
          <w:rFonts w:ascii="Calibri" w:cs="Calibri" w:eastAsia="Calibri" w:hAnsi="Calibri"/>
          <w:color w:val="1E293B"/>
          <w:sz w:val="22"/>
          <w:szCs w:val="22"/>
        </w:rPr>
        <w:t xml:space="preserve">Policy drift: Payer coverage policies are updated frequently. A RAG knowledge base that is not continuously synchronized with the latest policy versions will produce outdated decisions.</w:t>
      </w:r>
    </w:p>
    <w:p>
      <w:pPr>
        <w:pStyle w:val="ListParagraph"/>
        <w:numPr>
          <w:ilvl w:val="0"/>
          <w:numId w:val="2"/>
        </w:numPr>
        <w:spacing w:after="40" w:before="40"/>
      </w:pPr>
      <w:r>
        <w:rPr>
          <w:rFonts w:ascii="Calibri" w:cs="Calibri" w:eastAsia="Calibri" w:hAnsi="Calibri"/>
          <w:color w:val="1E293B"/>
          <w:sz w:val="22"/>
          <w:szCs w:val="22"/>
        </w:rPr>
        <w:t xml:space="preserve">Data privacy and HIPAA compliance: Any system processing protected health information (PHI) must operate within a HIPAA-compliant infrastructure, requiring significant investment in data governance, access controls, and audit logging.</w:t>
      </w:r>
    </w:p>
    <w:p>
      <w:pPr>
        <w:pStyle w:val="ListParagraph"/>
        <w:numPr>
          <w:ilvl w:val="0"/>
          <w:numId w:val="2"/>
        </w:numPr>
        <w:spacing w:after="40" w:before="40"/>
      </w:pPr>
      <w:r>
        <w:rPr>
          <w:rFonts w:ascii="Calibri" w:cs="Calibri" w:eastAsia="Calibri" w:hAnsi="Calibri"/>
          <w:color w:val="1E293B"/>
          <w:sz w:val="22"/>
          <w:szCs w:val="22"/>
        </w:rPr>
        <w:t xml:space="preserve">Model bias: LLMs trained on general corpora may encode biases that disadvantage certain patient populations. Clinical AI systems require bias audits and ongoing monitoring.</w:t>
      </w:r>
    </w:p>
    <w:p>
      <w:pPr>
        <w:spacing w:after="80" w:before="0"/>
      </w:pPr>
      <w:r>
        <w:t xml:space="preserve"/>
      </w:r>
    </w:p>
    <w:p>
      <w:pPr>
        <w:pStyle w:val="Heading1"/>
        <w:pBdr>
          <w:bottom w:val="single" w:color="1D4ED8" w:sz="6" w:space="4"/>
        </w:pBdr>
        <w:spacing w:after="100" w:before="280"/>
      </w:pPr>
      <w:r>
        <w:rPr>
          <w:rFonts w:ascii="Calibri" w:cs="Calibri" w:eastAsia="Calibri" w:hAnsi="Calibri"/>
          <w:b/>
          <w:bCs/>
          <w:color w:val="1E293B"/>
          <w:sz w:val="28"/>
          <w:szCs w:val="28"/>
        </w:rPr>
        <w:t xml:space="preserve">4. Strategic Recommendations for Cotiviti</w:t>
      </w:r>
    </w:p>
    <w:p>
      <w:pPr>
        <w:pStyle w:val="Heading2"/>
        <w:spacing w:after="80" w:before="200"/>
      </w:pPr>
      <w:r>
        <w:rPr>
          <w:rFonts w:ascii="Calibri" w:cs="Calibri" w:eastAsia="Calibri" w:hAnsi="Calibri"/>
          <w:b/>
          <w:bCs/>
          <w:color w:val="1D4ED8"/>
          <w:sz w:val="24"/>
          <w:szCs w:val="24"/>
        </w:rPr>
        <w:t xml:space="preserve">Recommendation 1: Build a Clinical Policy RAG Knowledge Base</w:t>
      </w:r>
    </w:p>
    <w:p>
      <w:pPr>
        <w:spacing w:after="80" w:before="80" w:line="276"/>
        <w:jc w:val="both"/>
      </w:pPr>
      <w:r>
        <w:rPr>
          <w:rFonts w:ascii="Calibri" w:cs="Calibri" w:eastAsia="Calibri" w:hAnsi="Calibri"/>
          <w:color w:val="1E293B"/>
          <w:sz w:val="22"/>
          <w:szCs w:val="22"/>
        </w:rPr>
        <w:t xml:space="preserve">Cotiviti should invest in embedding its existing library of payer-provider contracts, Medicare Local Coverage Determinations (LCDs), clinical practice guidelines, and step-therapy protocols into a vector database using a model such as ChromaDB or FAISS. Semantic similarity search over this knowledge base would enable the prior authorization agent to retrieve the exact applicable policy for any treatment request, making every AI decision traceable to a real, current document. This infrastructure would serve as the foundational data layer for all downstream agentic healthcare applications.</w:t>
      </w:r>
    </w:p>
    <w:p>
      <w:pPr>
        <w:spacing w:after="40" w:before="0"/>
      </w:pPr>
      <w:r>
        <w:t xml:space="preserve"/>
      </w:r>
    </w:p>
    <w:p>
      <w:pPr>
        <w:pStyle w:val="Heading2"/>
        <w:spacing w:after="80" w:before="200"/>
      </w:pPr>
      <w:r>
        <w:rPr>
          <w:rFonts w:ascii="Calibri" w:cs="Calibri" w:eastAsia="Calibri" w:hAnsi="Calibri"/>
          <w:b/>
          <w:bCs/>
          <w:color w:val="1D4ED8"/>
          <w:sz w:val="24"/>
          <w:szCs w:val="24"/>
        </w:rPr>
        <w:t xml:space="preserve">Recommendation 2: Deploy as a Human-in-the-Loop Decision Support Tool</w:t>
      </w:r>
    </w:p>
    <w:p>
      <w:pPr>
        <w:spacing w:after="80" w:before="80" w:line="276"/>
        <w:jc w:val="both"/>
      </w:pPr>
      <w:r>
        <w:rPr>
          <w:rFonts w:ascii="Calibri" w:cs="Calibri" w:eastAsia="Calibri" w:hAnsi="Calibri"/>
          <w:color w:val="1E293B"/>
          <w:sz w:val="22"/>
          <w:szCs w:val="22"/>
        </w:rPr>
        <w:t xml:space="preserve">Rather than deploying the agent as a fully autonomous decision system, Cotiviti should initially position it as a decision-support tool in which the agent produces a structured recommendation and the human reviewer confirms or overrides. This approach satisfies current regulatory requirements for human accountability, builds clinical and operational trust, and generates a labeled dataset of agent recommendations versus human decisions that can be used to fine-tune and continuously improve the model. Human-in-the-loop deployment is also a requirement for any CMS-regulated prior authorization workflow under the CMS Interoperability and Prior Authorization Final Rule (CMS-0057-F).</w:t>
      </w:r>
    </w:p>
    <w:p>
      <w:pPr>
        <w:spacing w:after="40" w:before="0"/>
      </w:pPr>
      <w:r>
        <w:t xml:space="preserve"/>
      </w:r>
    </w:p>
    <w:p>
      <w:pPr>
        <w:pStyle w:val="Heading2"/>
        <w:spacing w:after="80" w:before="200"/>
      </w:pPr>
      <w:r>
        <w:rPr>
          <w:rFonts w:ascii="Calibri" w:cs="Calibri" w:eastAsia="Calibri" w:hAnsi="Calibri"/>
          <w:b/>
          <w:bCs/>
          <w:color w:val="1D4ED8"/>
          <w:sz w:val="24"/>
          <w:szCs w:val="24"/>
        </w:rPr>
        <w:t xml:space="preserve">Recommendation 3: Extend to Payment Integrity and Anomaly Detection</w:t>
      </w:r>
    </w:p>
    <w:p>
      <w:pPr>
        <w:spacing w:after="80" w:before="80" w:line="276"/>
        <w:jc w:val="both"/>
      </w:pPr>
      <w:r>
        <w:rPr>
          <w:rFonts w:ascii="Calibri" w:cs="Calibri" w:eastAsia="Calibri" w:hAnsi="Calibri"/>
          <w:color w:val="1E293B"/>
          <w:sz w:val="22"/>
          <w:szCs w:val="22"/>
        </w:rPr>
        <w:t xml:space="preserve">The agentic reasoning framework demonstrated in this POC is not limited to prior authorization. Cotiviti should explore applying the same LangGraph pipeline architecture to payment integrity workflows: flagging unusual billing patterns, detecting upcoding, identifying duplicate claims, and applying time-series anomaly detection to claims sequences. These use cases align directly with Cotiviti’s existing business model and would benefit from the same policy-grounding and chain-of-thought reasoning capabilities demonstrated here.</w:t>
      </w:r>
    </w:p>
    <w:p>
      <w:pPr>
        <w:spacing w:after="80" w:before="0"/>
      </w:pPr>
      <w:r>
        <w:t xml:space="preserve"/>
      </w:r>
    </w:p>
    <w:p>
      <w:pPr>
        <w:pStyle w:val="Heading1"/>
        <w:pBdr>
          <w:bottom w:val="single" w:color="1D4ED8" w:sz="6" w:space="4"/>
        </w:pBdr>
        <w:spacing w:after="100" w:before="280"/>
      </w:pPr>
      <w:r>
        <w:rPr>
          <w:rFonts w:ascii="Calibri" w:cs="Calibri" w:eastAsia="Calibri" w:hAnsi="Calibri"/>
          <w:b/>
          <w:bCs/>
          <w:color w:val="1E293B"/>
          <w:sz w:val="28"/>
          <w:szCs w:val="28"/>
        </w:rPr>
        <w:t xml:space="preserve">5. Conclusion</w:t>
      </w:r>
    </w:p>
    <w:p>
      <w:pPr>
        <w:spacing w:after="80" w:before="80" w:line="276"/>
        <w:jc w:val="both"/>
      </w:pPr>
      <w:r>
        <w:rPr>
          <w:rFonts w:ascii="Calibri" w:cs="Calibri" w:eastAsia="Calibri" w:hAnsi="Calibri"/>
          <w:color w:val="1E293B"/>
          <w:sz w:val="22"/>
          <w:szCs w:val="22"/>
        </w:rPr>
        <w:t xml:space="preserve">Agentic Generative AI represents a transformative opportunity for healthcare payers and health informatics companies such as Cotiviti. The prior authorization domain offers a concrete, high-value starting point: the process is well-defined, policy-driven, and currently plagued by inefficiency and inconsistency. The LangGraph + RAG + Groq LLaMA3 system demonstrated in this assessment proves that a lightweight, production-adjacent agentic pipeline can reason through real clinical criteria, retrieve relevant payer policies, and produce explainable, auditable coverage determinations in real time. With the right investment in policy knowledge bases, human oversight infrastructure, and HIPAA-compliant deployment, Cotiviti is well-positioned to lead the healthcare industry’s transition to AI-assisted clinical decision making.</w:t>
      </w:r>
    </w:p>
    <w:p>
      <w:pPr>
        <w:spacing w:after="80" w:before="0"/>
      </w:pPr>
      <w:r>
        <w:t xml:space="preserve"/>
      </w:r>
    </w:p>
    <w:p>
      <w:pPr>
        <w:pageBreakBefore/>
      </w:pPr>
    </w:p>
    <w:p>
      <w:pPr>
        <w:pStyle w:val="Heading1"/>
        <w:pBdr>
          <w:bottom w:val="single" w:color="1D4ED8" w:sz="6" w:space="4"/>
        </w:pBdr>
        <w:spacing w:after="100" w:before="280"/>
      </w:pPr>
      <w:r>
        <w:rPr>
          <w:rFonts w:ascii="Calibri" w:cs="Calibri" w:eastAsia="Calibri" w:hAnsi="Calibri"/>
          <w:b/>
          <w:bCs/>
          <w:color w:val="1E293B"/>
          <w:sz w:val="28"/>
          <w:szCs w:val="28"/>
        </w:rPr>
        <w:t xml:space="preserve">Bibliography</w:t>
      </w:r>
    </w:p>
    <w:p>
      <w:pPr>
        <w:spacing w:after="80" w:before="80" w:line="276"/>
        <w:jc w:val="both"/>
      </w:pPr>
      <w:r>
        <w:rPr>
          <w:rFonts w:ascii="Calibri" w:cs="Calibri" w:eastAsia="Calibri" w:hAnsi="Calibri"/>
          <w:color w:val="1E293B"/>
          <w:sz w:val="22"/>
          <w:szCs w:val="22"/>
        </w:rPr>
        <w:t xml:space="preserve">American Medical Association. (2023). Prior authorization physician survey. American Medical Association. https://www.ama-assn.org/practice-management/prior-authorization/prior-authorization-research</w:t>
      </w:r>
    </w:p>
    <w:p>
      <w:pPr>
        <w:spacing w:after="24" w:before="0"/>
      </w:pPr>
      <w:r>
        <w:t xml:space="preserve"/>
      </w:r>
    </w:p>
    <w:p>
      <w:pPr>
        <w:spacing w:after="80" w:before="80" w:line="276"/>
        <w:jc w:val="both"/>
      </w:pPr>
      <w:r>
        <w:rPr>
          <w:rFonts w:ascii="Calibri" w:cs="Calibri" w:eastAsia="Calibri" w:hAnsi="Calibri"/>
          <w:color w:val="1E293B"/>
          <w:sz w:val="22"/>
          <w:szCs w:val="22"/>
        </w:rPr>
        <w:t xml:space="preserve">Centers for Medicare &amp; Medicaid Services. (2024). CMS interoperability and prior authorization final rule (CMS-0057-F). U.S. Department of Health and Human Services. https://www.cms.gov/newsroom/fact-sheets/cms-interoperability-and-prior-authorization-final-rule-cms-0057-f</w:t>
      </w:r>
    </w:p>
    <w:p>
      <w:pPr>
        <w:spacing w:after="24" w:before="0"/>
      </w:pPr>
      <w:r>
        <w:t xml:space="preserve"/>
      </w:r>
    </w:p>
    <w:p>
      <w:pPr>
        <w:spacing w:after="80" w:before="80" w:line="276"/>
        <w:jc w:val="both"/>
      </w:pPr>
      <w:r>
        <w:rPr>
          <w:rFonts w:ascii="Calibri" w:cs="Calibri" w:eastAsia="Calibri" w:hAnsi="Calibri"/>
          <w:color w:val="1E293B"/>
          <w:sz w:val="22"/>
          <w:szCs w:val="22"/>
        </w:rPr>
        <w:t xml:space="preserve">Lewis, P., Perez, E., Piktus, A., Petroni, F., Karpukhin, V., Goyal, N., Hättinger, H., Heinrich, S., Bhattacharya, U., Tiedemann, J., Bhattacharya, U., &amp; Kiela, D. (2020). Retrieval-augmented generation for knowledge-intensive NLP tasks. Advances in Neural Information Processing Systems, 33, 9459–9474. https://arxiv.org/abs/2005.11401</w:t>
      </w:r>
    </w:p>
    <w:p>
      <w:pPr>
        <w:spacing w:after="24" w:before="0"/>
      </w:pPr>
      <w:r>
        <w:t xml:space="preserve"/>
      </w:r>
    </w:p>
    <w:p>
      <w:pPr>
        <w:spacing w:after="80" w:before="80" w:line="276"/>
        <w:jc w:val="both"/>
      </w:pPr>
      <w:r>
        <w:rPr>
          <w:rFonts w:ascii="Calibri" w:cs="Calibri" w:eastAsia="Calibri" w:hAnsi="Calibri"/>
          <w:color w:val="1E293B"/>
          <w:sz w:val="22"/>
          <w:szCs w:val="22"/>
        </w:rPr>
        <w:t xml:space="preserve">OpenAI. (2023). GPT-4 technical report. OpenAI. https://arxiv.org/abs/2303.08774</w:t>
      </w:r>
    </w:p>
    <w:p>
      <w:pPr>
        <w:spacing w:after="24" w:before="0"/>
      </w:pPr>
      <w:r>
        <w:t xml:space="preserve"/>
      </w:r>
    </w:p>
    <w:p>
      <w:pPr>
        <w:spacing w:after="80" w:before="80" w:line="276"/>
        <w:jc w:val="both"/>
      </w:pPr>
      <w:r>
        <w:rPr>
          <w:rFonts w:ascii="Calibri" w:cs="Calibri" w:eastAsia="Calibri" w:hAnsi="Calibri"/>
          <w:color w:val="1E293B"/>
          <w:sz w:val="22"/>
          <w:szCs w:val="22"/>
        </w:rPr>
        <w:t xml:space="preserve">Singhal, K., Azizi, S., Tu, T., Mahdavi, S. S., Wei, J., Chung, H. W., Scales, N., Tanwani, A., Cole-Lewis, H., Pfohl, S., Payne, P., Seneviratne, M., Gamble, P., Kelly, C., Babbar, N., Bhatt, M., Ghassemi, M., Naseem, R., Guo, R., ... Natarajan, V. (2023). Large language models encode clinical knowledge. Nature, 620, 172–180. https://doi.org/10.1038/s41586-023-06291-2</w:t>
      </w:r>
    </w:p>
    <w:p>
      <w:pPr>
        <w:spacing w:after="24" w:before="0"/>
      </w:pPr>
      <w:r>
        <w:t xml:space="preserve"/>
      </w:r>
    </w:p>
    <w:p>
      <w:pPr>
        <w:spacing w:after="80" w:before="80" w:line="276"/>
        <w:jc w:val="both"/>
      </w:pPr>
      <w:r>
        <w:rPr>
          <w:rFonts w:ascii="Calibri" w:cs="Calibri" w:eastAsia="Calibri" w:hAnsi="Calibri"/>
          <w:color w:val="1E293B"/>
          <w:sz w:val="22"/>
          <w:szCs w:val="22"/>
        </w:rPr>
        <w:t xml:space="preserve">Harrison, C. (2024). LangGraph: Building stateful multi-actor applications with LLMs. LangChain Blog. https://blog.langchain.dev/langgraph/</w:t>
      </w:r>
    </w:p>
    <w:p>
      <w:pPr>
        <w:spacing w:after="24" w:before="0"/>
      </w:pPr>
      <w:r>
        <w:t xml:space="preserve"/>
      </w:r>
    </w:p>
    <w:p>
      <w:pPr>
        <w:spacing w:after="80" w:before="80" w:line="276"/>
        <w:jc w:val="both"/>
      </w:pPr>
      <w:r>
        <w:rPr>
          <w:rFonts w:ascii="Calibri" w:cs="Calibri" w:eastAsia="Calibri" w:hAnsi="Calibri"/>
          <w:color w:val="1E293B"/>
          <w:sz w:val="22"/>
          <w:szCs w:val="22"/>
        </w:rPr>
        <w:t xml:space="preserve">Topol, E. J. (2019). High-performance medicine: The convergence of human and artificial intelligence. Nature Medicine, 25(1), 44–56. https://doi.org/10.1038/s41591-018-0300-7</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pPr>
    <w:r>
      <w:rPr>
        <w:rFonts w:ascii="Calibri" w:cs="Calibri" w:eastAsia="Calibri" w:hAnsi="Calibri"/>
        <w:color w:val="64748B"/>
        <w:sz w:val="18"/>
        <w:szCs w:val="18"/>
      </w:rPr>
      <w:t xml:space="preserve">Sushmitha Urs  |  Northeastern University</w:t>
    </w:r>
    <w:r>
      <w:rPr>
        <w:rFonts w:ascii="Calibri" w:cs="Calibri" w:eastAsia="Calibri" w:hAnsi="Calibri"/>
        <w:sz w:val="18"/>
        <w:szCs w:val="18"/>
      </w:rPr>
      <w:t xml:space="preserve">	</w:t>
    </w:r>
    <w:r>
      <w:rPr>
        <w:rFonts w:ascii="Calibri" w:cs="Calibri" w:eastAsia="Calibri" w:hAnsi="Calibri"/>
        <w:color w:val="64748B"/>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jc w:val="right"/>
    </w:pPr>
    <w:r>
      <w:rPr>
        <w:rFonts w:ascii="Calibri" w:cs="Calibri" w:eastAsia="Calibri" w:hAnsi="Calibri"/>
        <w:color w:val="64748B"/>
        <w:sz w:val="18"/>
        <w:szCs w:val="18"/>
      </w:rPr>
      <w:t xml:space="preserve">Clinical Decision Making &amp; Agentic AI in Health Care  |  Cotiviti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E293B"/>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2026-06-26T20:14:42.580Z</dcterms:created>
  <dcterms:modified xsi:type="dcterms:W3CDTF">2026-06-26T20:14:42.580Z</dcterms:modified>
</cp:coreProperties>
</file>

<file path=docProps/custom.xml><?xml version="1.0" encoding="utf-8"?>
<Properties xmlns="http://schemas.openxmlformats.org/officeDocument/2006/custom-properties" xmlns:vt="http://schemas.openxmlformats.org/officeDocument/2006/docPropsVTypes"/>
</file>