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7B3" w:rsidRPr="00B459E5" w:rsidRDefault="009157B3" w:rsidP="009157B3">
      <w:pPr>
        <w:jc w:val="center"/>
        <w:rPr>
          <w:rFonts w:ascii="Andalus" w:hAnsi="Andalus" w:cs="Andalus"/>
          <w:color w:val="833C0B" w:themeColor="accent2" w:themeShade="80"/>
          <w:sz w:val="36"/>
          <w:szCs w:val="36"/>
        </w:rPr>
      </w:pPr>
      <w:r w:rsidRPr="00B459E5">
        <w:rPr>
          <w:rFonts w:ascii="Andalus" w:hAnsi="Andalus" w:cs="Andalus"/>
          <w:color w:val="833C0B" w:themeColor="accent2" w:themeShade="80"/>
          <w:sz w:val="36"/>
          <w:szCs w:val="36"/>
        </w:rPr>
        <w:t>INTRODUCTION</w:t>
      </w:r>
    </w:p>
    <w:p w:rsidR="009157B3" w:rsidRDefault="009157B3" w:rsidP="009157B3">
      <w:pPr>
        <w:jc w:val="center"/>
        <w:rPr>
          <w:rFonts w:ascii="Andalus" w:hAnsi="Andalus" w:cs="Andalus"/>
          <w:sz w:val="32"/>
          <w:szCs w:val="32"/>
        </w:rPr>
      </w:pPr>
    </w:p>
    <w:p w:rsidR="009157B3" w:rsidRPr="002B39EA" w:rsidRDefault="009157B3" w:rsidP="009157B3">
      <w:pPr>
        <w:jc w:val="center"/>
        <w:rPr>
          <w:rFonts w:ascii="Andalus" w:eastAsia="Times New Roman" w:hAnsi="Andalus" w:cs="Andalus"/>
          <w:b/>
          <w:bCs/>
          <w:color w:val="002060"/>
          <w:sz w:val="32"/>
          <w:szCs w:val="32"/>
          <w:u w:val="single"/>
          <w:lang w:eastAsia="en-IN"/>
        </w:rPr>
      </w:pPr>
      <w:r w:rsidRPr="002B39EA">
        <w:rPr>
          <w:rFonts w:ascii="Andalus" w:hAnsi="Andalus" w:cs="Andalus"/>
          <w:color w:val="002060"/>
          <w:sz w:val="32"/>
          <w:szCs w:val="32"/>
          <w:u w:val="single"/>
        </w:rPr>
        <w:t xml:space="preserve">MAHANADI </w:t>
      </w:r>
      <w:r w:rsidRPr="002B39EA">
        <w:rPr>
          <w:rFonts w:ascii="Andalus" w:eastAsia="Times New Roman" w:hAnsi="Andalus" w:cs="Andalus"/>
          <w:b/>
          <w:bCs/>
          <w:color w:val="002060"/>
          <w:sz w:val="32"/>
          <w:szCs w:val="32"/>
          <w:u w:val="single"/>
          <w:lang w:eastAsia="en-IN"/>
        </w:rPr>
        <w:t>(</w:t>
      </w:r>
      <w:r w:rsidRPr="002B39EA">
        <w:rPr>
          <w:rFonts w:ascii="Kalinga" w:eastAsia="Times New Roman" w:hAnsi="Kalinga" w:cs="Kalinga"/>
          <w:b/>
          <w:bCs/>
          <w:i/>
          <w:iCs/>
          <w:color w:val="002060"/>
          <w:sz w:val="32"/>
          <w:szCs w:val="32"/>
          <w:u w:val="single"/>
          <w:lang w:eastAsia="en-IN"/>
        </w:rPr>
        <w:t>ମହାନଦୀ</w:t>
      </w:r>
      <w:r w:rsidRPr="002B39EA">
        <w:rPr>
          <w:rFonts w:ascii="Andalus" w:eastAsia="Times New Roman" w:hAnsi="Andalus" w:cs="Andalus"/>
          <w:b/>
          <w:bCs/>
          <w:color w:val="002060"/>
          <w:sz w:val="32"/>
          <w:szCs w:val="32"/>
          <w:u w:val="single"/>
          <w:lang w:eastAsia="en-IN"/>
        </w:rPr>
        <w:t>)</w:t>
      </w:r>
      <w:bookmarkStart w:id="0" w:name="_GoBack"/>
      <w:bookmarkEnd w:id="0"/>
    </w:p>
    <w:p w:rsidR="00B459E5" w:rsidRDefault="00B459E5" w:rsidP="009157B3">
      <w:pPr>
        <w:jc w:val="center"/>
        <w:rPr>
          <w:rFonts w:ascii="Times New Roman" w:eastAsia="Times New Roman" w:hAnsi="Times New Roman" w:cs="Times New Roman"/>
          <w:b/>
          <w:bCs/>
          <w:color w:val="C00000"/>
          <w:sz w:val="28"/>
          <w:szCs w:val="28"/>
          <w:lang w:eastAsia="en-IN"/>
        </w:rPr>
      </w:pPr>
    </w:p>
    <w:p w:rsidR="009157B3" w:rsidRDefault="004C1F68" w:rsidP="00B459E5">
      <w:pPr>
        <w:jc w:val="center"/>
        <w:rPr>
          <w:rFonts w:ascii="Times New Roman" w:eastAsia="Times New Roman" w:hAnsi="Times New Roman" w:cs="Times New Roman"/>
          <w:b/>
          <w:bCs/>
          <w:color w:val="C00000"/>
          <w:sz w:val="28"/>
          <w:szCs w:val="28"/>
          <w:lang w:eastAsia="en-IN"/>
        </w:rPr>
      </w:pPr>
      <w:r>
        <w:rPr>
          <w:rFonts w:ascii="Times New Roman" w:eastAsia="Times New Roman" w:hAnsi="Times New Roman" w:cs="Times New Roman"/>
          <w:b/>
          <w:bCs/>
          <w:noProof/>
          <w:color w:val="C00000"/>
          <w:sz w:val="28"/>
          <w:szCs w:val="28"/>
          <w:lang w:eastAsia="en-IN"/>
        </w:rPr>
        <w:drawing>
          <wp:inline distT="0" distB="0" distL="0" distR="0">
            <wp:extent cx="5067300" cy="3512352"/>
            <wp:effectExtent l="171450" t="171450" r="171450" b="183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n.jpg"/>
                    <pic:cNvPicPr/>
                  </pic:nvPicPr>
                  <pic:blipFill rotWithShape="1">
                    <a:blip r:embed="rId6">
                      <a:extLst>
                        <a:ext uri="{28A0092B-C50C-407E-A947-70E740481C1C}">
                          <a14:useLocalDpi xmlns:a14="http://schemas.microsoft.com/office/drawing/2010/main" val="0"/>
                        </a:ext>
                      </a:extLst>
                    </a:blip>
                    <a:srcRect l="3656" t="4629" r="4277" b="18490"/>
                    <a:stretch/>
                  </pic:blipFill>
                  <pic:spPr bwMode="auto">
                    <a:xfrm>
                      <a:off x="0" y="0"/>
                      <a:ext cx="5068636" cy="351327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4A1FEB" w:rsidRPr="00B459E5" w:rsidRDefault="004A1FEB" w:rsidP="00B459E5">
      <w:pPr>
        <w:jc w:val="center"/>
        <w:rPr>
          <w:rFonts w:ascii="Times New Roman" w:eastAsia="Times New Roman" w:hAnsi="Times New Roman" w:cs="Times New Roman"/>
          <w:b/>
          <w:bCs/>
          <w:color w:val="C00000"/>
          <w:sz w:val="28"/>
          <w:szCs w:val="28"/>
          <w:lang w:eastAsia="en-IN"/>
        </w:rPr>
      </w:pPr>
      <w:r>
        <w:rPr>
          <w:rFonts w:ascii="Times New Roman" w:eastAsia="Times New Roman" w:hAnsi="Times New Roman" w:cs="Times New Roman"/>
          <w:b/>
          <w:bCs/>
          <w:color w:val="C00000"/>
          <w:sz w:val="28"/>
          <w:szCs w:val="28"/>
          <w:lang w:eastAsia="en-IN"/>
        </w:rPr>
        <w:t>Fig -1. a</w:t>
      </w:r>
    </w:p>
    <w:p w:rsidR="009157B3" w:rsidRDefault="009157B3" w:rsidP="009157B3">
      <w:pPr>
        <w:jc w:val="both"/>
        <w:rPr>
          <w:rFonts w:ascii="Andalus" w:hAnsi="Andalus" w:cs="Andalus"/>
          <w:sz w:val="28"/>
          <w:szCs w:val="28"/>
        </w:rPr>
      </w:pPr>
      <w:r w:rsidRPr="00B459E5">
        <w:rPr>
          <w:rFonts w:ascii="Monotype Corsiva" w:hAnsi="Monotype Corsiva" w:cs="Aparajita"/>
          <w:b/>
          <w:sz w:val="28"/>
          <w:szCs w:val="28"/>
          <w:u w:val="single"/>
        </w:rPr>
        <w:t>SOURCE</w:t>
      </w:r>
      <w:r>
        <w:rPr>
          <w:rFonts w:ascii="Andalus" w:hAnsi="Andalus" w:cs="Andalus"/>
          <w:sz w:val="28"/>
          <w:szCs w:val="28"/>
        </w:rPr>
        <w:t xml:space="preserve"> –</w:t>
      </w:r>
    </w:p>
    <w:p w:rsidR="009157B3" w:rsidRPr="009157B3" w:rsidRDefault="009157B3" w:rsidP="009157B3">
      <w:pPr>
        <w:jc w:val="both"/>
        <w:rPr>
          <w:rFonts w:ascii="Andalus" w:hAnsi="Andalus" w:cs="Andalus"/>
          <w:sz w:val="24"/>
          <w:szCs w:val="24"/>
        </w:rPr>
      </w:pPr>
      <w:r>
        <w:rPr>
          <w:rFonts w:ascii="Andalus" w:hAnsi="Andalus" w:cs="Andalus"/>
          <w:sz w:val="24"/>
          <w:szCs w:val="24"/>
        </w:rPr>
        <w:t xml:space="preserve">Mahanadi is a major river with its delta on the east coast. </w:t>
      </w:r>
      <w:r w:rsidRPr="009157B3">
        <w:rPr>
          <w:rFonts w:ascii="Andalus" w:hAnsi="Andalus" w:cs="Andalus"/>
          <w:sz w:val="24"/>
          <w:szCs w:val="24"/>
        </w:rPr>
        <w:t>Like many other seasonal Indian rivers, the Mahanadi too is a combination of many mountain streams and thus its precise source is impossible to pinpoint. However its farthest headwaters lie 6 kilometres (3.7 mi</w:t>
      </w:r>
      <w:r>
        <w:rPr>
          <w:rFonts w:ascii="Andalus" w:hAnsi="Andalus" w:cs="Andalus"/>
          <w:sz w:val="24"/>
          <w:szCs w:val="24"/>
        </w:rPr>
        <w:t>les</w:t>
      </w:r>
      <w:r w:rsidRPr="009157B3">
        <w:rPr>
          <w:rFonts w:ascii="Andalus" w:hAnsi="Andalus" w:cs="Andalus"/>
          <w:sz w:val="24"/>
          <w:szCs w:val="24"/>
        </w:rPr>
        <w:t>) from Pharsiya village 442 metres (1,450 ft) above sea level south of Nagri town in Dhamtari</w:t>
      </w:r>
      <w:r>
        <w:rPr>
          <w:rFonts w:ascii="Andalus" w:hAnsi="Andalus" w:cs="Andalus"/>
          <w:sz w:val="24"/>
          <w:szCs w:val="24"/>
        </w:rPr>
        <w:t xml:space="preserve"> district of Chhattisgarh.</w:t>
      </w:r>
      <w:r w:rsidRPr="009157B3">
        <w:rPr>
          <w:rFonts w:ascii="Andalus" w:hAnsi="Andalus" w:cs="Andalus"/>
          <w:sz w:val="24"/>
          <w:szCs w:val="24"/>
        </w:rPr>
        <w:t xml:space="preserve"> The hills here are an extension of the Eastern Ghats and are a source of many other streams which then go on to join the Mahanadi.</w:t>
      </w:r>
    </w:p>
    <w:p w:rsidR="009157B3" w:rsidRDefault="009157B3" w:rsidP="009157B3">
      <w:pPr>
        <w:jc w:val="both"/>
        <w:rPr>
          <w:rFonts w:ascii="Andalus" w:hAnsi="Andalus" w:cs="Andalus"/>
          <w:sz w:val="24"/>
          <w:szCs w:val="24"/>
        </w:rPr>
      </w:pPr>
      <w:r w:rsidRPr="009157B3">
        <w:rPr>
          <w:rFonts w:ascii="Andalus" w:hAnsi="Andalus" w:cs="Andalus"/>
          <w:sz w:val="24"/>
          <w:szCs w:val="24"/>
        </w:rPr>
        <w:t>For the first 80 kilometres (50 mi</w:t>
      </w:r>
      <w:r>
        <w:rPr>
          <w:rFonts w:ascii="Andalus" w:hAnsi="Andalus" w:cs="Andalus"/>
          <w:sz w:val="24"/>
          <w:szCs w:val="24"/>
        </w:rPr>
        <w:t>les</w:t>
      </w:r>
      <w:r w:rsidRPr="009157B3">
        <w:rPr>
          <w:rFonts w:ascii="Andalus" w:hAnsi="Andalus" w:cs="Andalus"/>
          <w:sz w:val="24"/>
          <w:szCs w:val="24"/>
        </w:rPr>
        <w:t>) of its course, the Mahanadi flows in a northerly direction and drains the Raipur district and touches eastern portions of Raipur city. It is a rather narrow river at this stage and the total width of its valley does not exceed 500–600 metres.</w:t>
      </w:r>
    </w:p>
    <w:p w:rsidR="009157B3" w:rsidRDefault="009157B3" w:rsidP="009157B3">
      <w:pPr>
        <w:jc w:val="both"/>
        <w:rPr>
          <w:rFonts w:ascii="Andalus" w:hAnsi="Andalus" w:cs="Andalus"/>
          <w:sz w:val="24"/>
          <w:szCs w:val="24"/>
        </w:rPr>
      </w:pPr>
    </w:p>
    <w:p w:rsidR="009157B3" w:rsidRPr="00B459E5" w:rsidRDefault="004C1F68" w:rsidP="009157B3">
      <w:pPr>
        <w:jc w:val="both"/>
        <w:rPr>
          <w:rFonts w:ascii="Andalus" w:hAnsi="Andalus" w:cs="Andalus"/>
          <w:sz w:val="28"/>
          <w:szCs w:val="28"/>
        </w:rPr>
      </w:pPr>
      <w:r w:rsidRPr="00B459E5">
        <w:rPr>
          <w:rFonts w:ascii="Monotype Corsiva" w:hAnsi="Monotype Corsiva" w:cs="Andalus"/>
          <w:b/>
          <w:i/>
          <w:sz w:val="28"/>
          <w:szCs w:val="28"/>
          <w:u w:val="single"/>
        </w:rPr>
        <w:t>MIDDLE COU</w:t>
      </w:r>
      <w:r w:rsidR="009157B3" w:rsidRPr="00B459E5">
        <w:rPr>
          <w:rFonts w:ascii="Monotype Corsiva" w:hAnsi="Monotype Corsiva" w:cs="Andalus"/>
          <w:b/>
          <w:i/>
          <w:sz w:val="28"/>
          <w:szCs w:val="28"/>
          <w:u w:val="single"/>
        </w:rPr>
        <w:t>RSE</w:t>
      </w:r>
      <w:r w:rsidR="009157B3" w:rsidRPr="00B459E5">
        <w:rPr>
          <w:rFonts w:ascii="Andalus" w:hAnsi="Andalus" w:cs="Andalus"/>
          <w:sz w:val="28"/>
          <w:szCs w:val="28"/>
        </w:rPr>
        <w:t xml:space="preserve"> </w:t>
      </w:r>
      <w:r w:rsidRPr="00B459E5">
        <w:rPr>
          <w:rFonts w:ascii="Andalus" w:hAnsi="Andalus" w:cs="Andalus"/>
          <w:sz w:val="28"/>
          <w:szCs w:val="28"/>
        </w:rPr>
        <w:t>–</w:t>
      </w:r>
    </w:p>
    <w:p w:rsidR="004C1F68" w:rsidRDefault="004C1F68" w:rsidP="004C1F68">
      <w:pPr>
        <w:jc w:val="both"/>
        <w:rPr>
          <w:rFonts w:ascii="Andalus" w:hAnsi="Andalus" w:cs="Andalus"/>
          <w:sz w:val="24"/>
          <w:szCs w:val="24"/>
        </w:rPr>
      </w:pPr>
      <w:r w:rsidRPr="004C1F68">
        <w:rPr>
          <w:rFonts w:ascii="Andalus" w:hAnsi="Andalus" w:cs="Andalus"/>
          <w:sz w:val="24"/>
          <w:szCs w:val="24"/>
        </w:rPr>
        <w:t xml:space="preserve">After being joined by the </w:t>
      </w:r>
      <w:r w:rsidR="00B459E5" w:rsidRPr="004C1F68">
        <w:rPr>
          <w:rFonts w:ascii="Andalus" w:hAnsi="Andalus" w:cs="Andalus"/>
          <w:sz w:val="24"/>
          <w:szCs w:val="24"/>
        </w:rPr>
        <w:t>Seonath</w:t>
      </w:r>
      <w:r w:rsidR="00B459E5">
        <w:rPr>
          <w:rFonts w:ascii="Andalus" w:hAnsi="Andalus" w:cs="Andalus"/>
          <w:sz w:val="24"/>
          <w:szCs w:val="24"/>
        </w:rPr>
        <w:t>,</w:t>
      </w:r>
      <w:r w:rsidRPr="004C1F68">
        <w:rPr>
          <w:rFonts w:ascii="Andalus" w:hAnsi="Andalus" w:cs="Andalus"/>
          <w:sz w:val="24"/>
          <w:szCs w:val="24"/>
        </w:rPr>
        <w:t xml:space="preserve"> the river flows in an easterly direction through the remaining part of its journey. It is joined by the Jonk and Hasdeo rivers here before entering into Odisha after covering about half of its total length. Near the city of Sambalpur, it is dammed by the largest earthen dam in the world, the Hirakud Dam.</w:t>
      </w:r>
    </w:p>
    <w:p w:rsidR="004C1F68" w:rsidRPr="004C1F68" w:rsidRDefault="004C1F68" w:rsidP="004C1F68">
      <w:pPr>
        <w:jc w:val="both"/>
        <w:rPr>
          <w:rFonts w:ascii="Andalus" w:hAnsi="Andalus" w:cs="Andalus"/>
          <w:sz w:val="24"/>
          <w:szCs w:val="24"/>
        </w:rPr>
      </w:pPr>
      <w:r w:rsidRPr="004C1F68">
        <w:rPr>
          <w:rFonts w:ascii="Andalus" w:hAnsi="Andalus" w:cs="Andalus"/>
          <w:sz w:val="24"/>
          <w:szCs w:val="24"/>
        </w:rPr>
        <w:t xml:space="preserve"> A composite structure of earth, concrete and masonry, the dam measures 24 kilometres (15 mi</w:t>
      </w:r>
      <w:r>
        <w:rPr>
          <w:rFonts w:ascii="Andalus" w:hAnsi="Andalus" w:cs="Andalus"/>
          <w:sz w:val="24"/>
          <w:szCs w:val="24"/>
        </w:rPr>
        <w:t>le</w:t>
      </w:r>
      <w:r w:rsidRPr="004C1F68">
        <w:rPr>
          <w:rFonts w:ascii="Andalus" w:hAnsi="Andalus" w:cs="Andalus"/>
          <w:sz w:val="24"/>
          <w:szCs w:val="24"/>
        </w:rPr>
        <w:t>) including the Dykes. It spans two hills; the Lamdungri on the left and the Chandili Dunguri on the right. It also forms the biggest artificial lake in Asia, with a reservoir holding 743 square kilometres (287 sq mi</w:t>
      </w:r>
      <w:r>
        <w:rPr>
          <w:rFonts w:ascii="Andalus" w:hAnsi="Andalus" w:cs="Andalus"/>
          <w:sz w:val="24"/>
          <w:szCs w:val="24"/>
        </w:rPr>
        <w:t>le</w:t>
      </w:r>
      <w:r w:rsidRPr="004C1F68">
        <w:rPr>
          <w:rFonts w:ascii="Andalus" w:hAnsi="Andalus" w:cs="Andalus"/>
          <w:sz w:val="24"/>
          <w:szCs w:val="24"/>
        </w:rPr>
        <w:t xml:space="preserve">) at full capacity, with a shoreline of </w:t>
      </w:r>
      <w:r>
        <w:rPr>
          <w:rFonts w:ascii="Andalus" w:hAnsi="Andalus" w:cs="Andalus"/>
          <w:sz w:val="24"/>
          <w:szCs w:val="24"/>
        </w:rPr>
        <w:t>over 640 kilometres (400 mi).</w:t>
      </w:r>
    </w:p>
    <w:p w:rsidR="004C1F68" w:rsidRDefault="004C1F68" w:rsidP="004C1F68">
      <w:pPr>
        <w:jc w:val="both"/>
        <w:rPr>
          <w:rFonts w:ascii="Andalus" w:hAnsi="Andalus" w:cs="Andalus"/>
          <w:sz w:val="24"/>
          <w:szCs w:val="24"/>
        </w:rPr>
      </w:pPr>
      <w:r w:rsidRPr="004C1F68">
        <w:rPr>
          <w:rFonts w:ascii="Andalus" w:hAnsi="Andalus" w:cs="Andalus"/>
          <w:sz w:val="24"/>
          <w:szCs w:val="24"/>
        </w:rPr>
        <w:t>After the formation of Chhattisgarh State, the major portion of Mahanadi basin now lies in Chhattisgarh. Presently, only 154 square kilometres (59 sq mi</w:t>
      </w:r>
      <w:r>
        <w:rPr>
          <w:rFonts w:ascii="Andalus" w:hAnsi="Andalus" w:cs="Andalus"/>
          <w:sz w:val="24"/>
          <w:szCs w:val="24"/>
        </w:rPr>
        <w:t>le</w:t>
      </w:r>
      <w:r w:rsidRPr="004C1F68">
        <w:rPr>
          <w:rFonts w:ascii="Andalus" w:hAnsi="Andalus" w:cs="Andalus"/>
          <w:sz w:val="24"/>
          <w:szCs w:val="24"/>
        </w:rPr>
        <w:t>) basin area of Hasdeo River in Anuppur District lies in Madhya Pradesh.</w:t>
      </w:r>
      <w:r>
        <w:rPr>
          <w:rFonts w:ascii="Andalus" w:hAnsi="Andalus" w:cs="Andalus"/>
          <w:sz w:val="24"/>
          <w:szCs w:val="24"/>
        </w:rPr>
        <w:t xml:space="preserve"> </w:t>
      </w:r>
      <w:r w:rsidRPr="004C1F68">
        <w:rPr>
          <w:rFonts w:ascii="Andalus" w:hAnsi="Andalus" w:cs="Andalus"/>
          <w:sz w:val="24"/>
          <w:szCs w:val="24"/>
        </w:rPr>
        <w:t xml:space="preserve">Before the construction of the dam in 1953, the Mahanadi was about a mile wide at Sambalpur and carried massive amounts of silt, especially during the monsoon. </w:t>
      </w:r>
    </w:p>
    <w:p w:rsidR="004C1F68" w:rsidRPr="009157B3" w:rsidRDefault="004C1F68" w:rsidP="004C1F68">
      <w:pPr>
        <w:jc w:val="both"/>
        <w:rPr>
          <w:rFonts w:ascii="Andalus" w:hAnsi="Andalus" w:cs="Andalus"/>
          <w:sz w:val="24"/>
          <w:szCs w:val="24"/>
        </w:rPr>
      </w:pPr>
      <w:r w:rsidRPr="004C1F68">
        <w:rPr>
          <w:rFonts w:ascii="Andalus" w:hAnsi="Andalus" w:cs="Andalus"/>
          <w:sz w:val="24"/>
          <w:szCs w:val="24"/>
        </w:rPr>
        <w:t>Today, it is a rather tame river after the construction of the dam and is joined by the Ib, Ong, Tel and other minor streams. It then skirts the boundaries of the Baudh district and forces a tortuous way between ridges and ledges in a series of rapids until it reaches Dholpur, Odisha. The rapids end here and the river rolls towards the Eastern Ghats, forcing its way through them via the 64 kilometres (40 mi</w:t>
      </w:r>
      <w:r>
        <w:rPr>
          <w:rFonts w:ascii="Andalus" w:hAnsi="Andalus" w:cs="Andalus"/>
          <w:sz w:val="24"/>
          <w:szCs w:val="24"/>
        </w:rPr>
        <w:t>le</w:t>
      </w:r>
      <w:r w:rsidRPr="004C1F68">
        <w:rPr>
          <w:rFonts w:ascii="Andalus" w:hAnsi="Andalus" w:cs="Andalus"/>
          <w:sz w:val="24"/>
          <w:szCs w:val="24"/>
        </w:rPr>
        <w:t>) long Satkosia Gorge. The Satakosia Gorge ends at Badamul of Nayagarh. Dense forests cover the hills flanking the river here. The river enters the Odisha plains at Naraj, about 11 kilometres (6.8 mi</w:t>
      </w:r>
      <w:r>
        <w:rPr>
          <w:rFonts w:ascii="Andalus" w:hAnsi="Andalus" w:cs="Andalus"/>
          <w:sz w:val="24"/>
          <w:szCs w:val="24"/>
        </w:rPr>
        <w:t>le</w:t>
      </w:r>
      <w:r w:rsidRPr="004C1F68">
        <w:rPr>
          <w:rFonts w:ascii="Andalus" w:hAnsi="Andalus" w:cs="Andalus"/>
          <w:sz w:val="24"/>
          <w:szCs w:val="24"/>
        </w:rPr>
        <w:t>) from Cuttack, where it pours down between two hills that are a mile apart. A barrage has been constructed here to regulate t</w:t>
      </w:r>
      <w:r>
        <w:rPr>
          <w:rFonts w:ascii="Andalus" w:hAnsi="Andalus" w:cs="Andalus"/>
          <w:sz w:val="24"/>
          <w:szCs w:val="24"/>
        </w:rPr>
        <w:t>he river's flow into Cuttack.</w:t>
      </w:r>
    </w:p>
    <w:p w:rsidR="009157B3" w:rsidRDefault="009157B3" w:rsidP="009157B3">
      <w:pPr>
        <w:jc w:val="both"/>
        <w:rPr>
          <w:rFonts w:ascii="Andalus" w:hAnsi="Andalus" w:cs="Andalus"/>
          <w:sz w:val="28"/>
          <w:szCs w:val="28"/>
        </w:rPr>
      </w:pPr>
    </w:p>
    <w:p w:rsidR="00B459E5" w:rsidRPr="00B459E5" w:rsidRDefault="00B459E5" w:rsidP="009157B3">
      <w:pPr>
        <w:jc w:val="both"/>
        <w:rPr>
          <w:rFonts w:ascii="Andalus" w:hAnsi="Andalus" w:cs="Andalus"/>
          <w:sz w:val="28"/>
          <w:szCs w:val="28"/>
        </w:rPr>
      </w:pPr>
      <w:r w:rsidRPr="00B459E5">
        <w:rPr>
          <w:rFonts w:ascii="Monotype Corsiva" w:hAnsi="Monotype Corsiva" w:cs="Andalus"/>
          <w:b/>
          <w:sz w:val="28"/>
          <w:szCs w:val="28"/>
          <w:u w:val="single"/>
        </w:rPr>
        <w:t>MOUTH</w:t>
      </w:r>
      <w:r w:rsidRPr="00B459E5">
        <w:rPr>
          <w:rFonts w:ascii="Andalus" w:hAnsi="Andalus" w:cs="Andalus"/>
          <w:sz w:val="28"/>
          <w:szCs w:val="28"/>
        </w:rPr>
        <w:t xml:space="preserve"> –</w:t>
      </w:r>
    </w:p>
    <w:p w:rsidR="00B459E5" w:rsidRDefault="00B459E5" w:rsidP="009157B3">
      <w:pPr>
        <w:jc w:val="both"/>
        <w:rPr>
          <w:rFonts w:ascii="Andalus" w:hAnsi="Andalus" w:cs="Andalus"/>
          <w:sz w:val="24"/>
          <w:szCs w:val="24"/>
        </w:rPr>
      </w:pPr>
      <w:r w:rsidRPr="00B459E5">
        <w:rPr>
          <w:rFonts w:ascii="Andalus" w:hAnsi="Andalus" w:cs="Andalus"/>
          <w:sz w:val="24"/>
          <w:szCs w:val="24"/>
        </w:rPr>
        <w:t xml:space="preserve">The river traverses Cuttack district in an east-west direction. Just before entering Cuttack, it gives off a large distributary called the Kathjori. The city of Cuttack stands on the spit separating the two channels. The Kathjori then throws off many streams like the Kuakhai, Devi and Surua which fall into the Bay of Bengal after entering Puri district. The Kathjori </w:t>
      </w:r>
      <w:r w:rsidRPr="00B459E5">
        <w:rPr>
          <w:rFonts w:ascii="Andalus" w:hAnsi="Andalus" w:cs="Andalus"/>
          <w:sz w:val="24"/>
          <w:szCs w:val="24"/>
        </w:rPr>
        <w:lastRenderedPageBreak/>
        <w:t>itself falls into the sea as the Jotdar. Other distributaries of Mahanadi include the Paika, Birupa, Chitroptala river, Genguti and Lun. The Birupa then goes on to join the Brahmani River at Krushnanagar and enters the Bay of Bengal at Dhamra. The Mahanadi proper enters the sea via several channels near Paradeep at False Point, Jagatsinghpur. The combined Delta of the Mahanadi's numerous distributaries and the Brahmani is one of the largest in India</w:t>
      </w:r>
      <w:r>
        <w:rPr>
          <w:rFonts w:ascii="Andalus" w:hAnsi="Andalus" w:cs="Andalus"/>
          <w:sz w:val="24"/>
          <w:szCs w:val="24"/>
        </w:rPr>
        <w:t>.</w:t>
      </w:r>
    </w:p>
    <w:p w:rsidR="00B459E5" w:rsidRDefault="00B459E5" w:rsidP="009157B3">
      <w:pPr>
        <w:jc w:val="both"/>
        <w:rPr>
          <w:rFonts w:ascii="Andalus" w:hAnsi="Andalus" w:cs="Andalus"/>
          <w:sz w:val="24"/>
          <w:szCs w:val="24"/>
        </w:rPr>
      </w:pPr>
    </w:p>
    <w:p w:rsidR="00B459E5" w:rsidRPr="00B459E5" w:rsidRDefault="00B459E5" w:rsidP="009157B3">
      <w:pPr>
        <w:jc w:val="both"/>
        <w:rPr>
          <w:rFonts w:ascii="Andalus" w:hAnsi="Andalus" w:cs="Andalus"/>
          <w:sz w:val="28"/>
          <w:szCs w:val="28"/>
        </w:rPr>
      </w:pPr>
      <w:r w:rsidRPr="00B459E5">
        <w:rPr>
          <w:rFonts w:ascii="Monotype Corsiva" w:hAnsi="Monotype Corsiva" w:cs="Andalus"/>
          <w:b/>
          <w:sz w:val="28"/>
          <w:szCs w:val="28"/>
          <w:u w:val="single"/>
        </w:rPr>
        <w:t>NAVIGATION</w:t>
      </w:r>
      <w:r w:rsidRPr="00B459E5">
        <w:rPr>
          <w:rFonts w:ascii="Andalus" w:hAnsi="Andalus" w:cs="Andalus"/>
          <w:sz w:val="28"/>
          <w:szCs w:val="28"/>
        </w:rPr>
        <w:t xml:space="preserve"> –</w:t>
      </w:r>
    </w:p>
    <w:p w:rsidR="00B459E5" w:rsidRDefault="00B459E5" w:rsidP="009157B3">
      <w:pPr>
        <w:jc w:val="both"/>
        <w:rPr>
          <w:rFonts w:ascii="Andalus" w:hAnsi="Andalus" w:cs="Andalus"/>
          <w:sz w:val="24"/>
          <w:szCs w:val="24"/>
        </w:rPr>
      </w:pPr>
      <w:r w:rsidRPr="00B459E5">
        <w:rPr>
          <w:rFonts w:ascii="Andalus" w:hAnsi="Andalus" w:cs="Andalus"/>
          <w:sz w:val="24"/>
          <w:szCs w:val="24"/>
        </w:rPr>
        <w:t>Prior to the construction of the Hirakud Dam, the Mahanadi was navigable from its mouth up to Arrang, about a 150 kilometres (93 mi</w:t>
      </w:r>
      <w:r>
        <w:rPr>
          <w:rFonts w:ascii="Andalus" w:hAnsi="Andalus" w:cs="Andalus"/>
          <w:sz w:val="24"/>
          <w:szCs w:val="24"/>
        </w:rPr>
        <w:t>le</w:t>
      </w:r>
      <w:r w:rsidRPr="00B459E5">
        <w:rPr>
          <w:rFonts w:ascii="Andalus" w:hAnsi="Andalus" w:cs="Andalus"/>
          <w:sz w:val="24"/>
          <w:szCs w:val="24"/>
        </w:rPr>
        <w:t>) from its source. However numerous barrages apart from the Hirakud have put an end to that. Today, boats are restricted to the delta region and the Hirakud reservoir</w:t>
      </w:r>
      <w:r>
        <w:rPr>
          <w:rFonts w:ascii="Andalus" w:hAnsi="Andalus" w:cs="Andalus"/>
          <w:sz w:val="24"/>
          <w:szCs w:val="24"/>
        </w:rPr>
        <w:t>.</w:t>
      </w:r>
    </w:p>
    <w:p w:rsidR="00B459E5" w:rsidRDefault="00B459E5" w:rsidP="009157B3">
      <w:pPr>
        <w:jc w:val="both"/>
        <w:rPr>
          <w:rFonts w:ascii="Andalus" w:hAnsi="Andalus" w:cs="Andalus"/>
          <w:sz w:val="24"/>
          <w:szCs w:val="24"/>
        </w:rPr>
      </w:pPr>
    </w:p>
    <w:p w:rsidR="00B459E5" w:rsidRDefault="00B459E5" w:rsidP="009157B3">
      <w:pPr>
        <w:jc w:val="both"/>
        <w:rPr>
          <w:rFonts w:ascii="Andalus" w:hAnsi="Andalus" w:cs="Andalus"/>
          <w:sz w:val="24"/>
          <w:szCs w:val="24"/>
        </w:rPr>
      </w:pPr>
      <w:r w:rsidRPr="00B459E5">
        <w:rPr>
          <w:rFonts w:ascii="Monotype Corsiva" w:hAnsi="Monotype Corsiva" w:cs="Andalus"/>
          <w:b/>
          <w:sz w:val="28"/>
          <w:szCs w:val="28"/>
          <w:u w:val="single"/>
        </w:rPr>
        <w:t>TRADE AND AGRICULTURE</w:t>
      </w:r>
      <w:r>
        <w:rPr>
          <w:rFonts w:ascii="Andalus" w:hAnsi="Andalus" w:cs="Andalus"/>
          <w:sz w:val="24"/>
          <w:szCs w:val="24"/>
        </w:rPr>
        <w:t xml:space="preserve"> –</w:t>
      </w:r>
    </w:p>
    <w:p w:rsidR="00B459E5" w:rsidRPr="00B459E5" w:rsidRDefault="00B459E5" w:rsidP="00B459E5">
      <w:pPr>
        <w:jc w:val="both"/>
        <w:rPr>
          <w:rFonts w:ascii="Andalus" w:hAnsi="Andalus" w:cs="Andalus"/>
          <w:sz w:val="24"/>
          <w:szCs w:val="24"/>
        </w:rPr>
      </w:pPr>
      <w:r w:rsidRPr="00B459E5">
        <w:rPr>
          <w:rFonts w:ascii="Andalus" w:hAnsi="Andalus" w:cs="Andalus"/>
          <w:sz w:val="24"/>
          <w:szCs w:val="24"/>
        </w:rPr>
        <w:t>The Mahanadi is an important river in the state of Odisha. This river flows slowly for about 900 kilometres (560 mi</w:t>
      </w:r>
      <w:r>
        <w:rPr>
          <w:rFonts w:ascii="Andalus" w:hAnsi="Andalus" w:cs="Andalus"/>
          <w:sz w:val="24"/>
          <w:szCs w:val="24"/>
        </w:rPr>
        <w:t>le</w:t>
      </w:r>
      <w:r w:rsidRPr="00B459E5">
        <w:rPr>
          <w:rFonts w:ascii="Andalus" w:hAnsi="Andalus" w:cs="Andalus"/>
          <w:sz w:val="24"/>
          <w:szCs w:val="24"/>
        </w:rPr>
        <w:t>) and deposits more silt than any other river in the Indian subcontinent.</w:t>
      </w:r>
    </w:p>
    <w:p w:rsidR="00B459E5" w:rsidRDefault="00B459E5" w:rsidP="00B459E5">
      <w:pPr>
        <w:jc w:val="both"/>
        <w:rPr>
          <w:rFonts w:ascii="Andalus" w:hAnsi="Andalus" w:cs="Andalus"/>
          <w:sz w:val="24"/>
          <w:szCs w:val="24"/>
        </w:rPr>
      </w:pPr>
      <w:r w:rsidRPr="00B459E5">
        <w:rPr>
          <w:rFonts w:ascii="Andalus" w:hAnsi="Andalus" w:cs="Andalus"/>
          <w:sz w:val="24"/>
          <w:szCs w:val="24"/>
        </w:rPr>
        <w:t>The cities of Cuttack and Sambalpur were prominent trading places in the ancient world and the river itself has been referred to as the Manada in Ptolemy's works. However today the Mahanadi valley is best known for its fertile soil and flourishing agriculture. Prior to the Hirakud dam, the river carried more silt than any other rive</w:t>
      </w:r>
      <w:r>
        <w:rPr>
          <w:rFonts w:ascii="Andalus" w:hAnsi="Andalus" w:cs="Andalus"/>
          <w:sz w:val="24"/>
          <w:szCs w:val="24"/>
        </w:rPr>
        <w:t>r in the Indian subcontinent.</w:t>
      </w:r>
      <w:r w:rsidRPr="00B459E5">
        <w:rPr>
          <w:rFonts w:ascii="Andalus" w:hAnsi="Andalus" w:cs="Andalus"/>
          <w:sz w:val="24"/>
          <w:szCs w:val="24"/>
        </w:rPr>
        <w:t xml:space="preserve"> As a result its delta had one of the highest yield per acre in the whole of India. Today agriculture primarily depends on a network of canals that arise from the river. Rice, oilseeds, and sugarcane are the principal crops here. An equally fertile though smaller valley also exists near Raipurd in the river's early course.</w:t>
      </w:r>
    </w:p>
    <w:p w:rsidR="00B459E5" w:rsidRDefault="00B459E5" w:rsidP="00B459E5">
      <w:pPr>
        <w:jc w:val="both"/>
        <w:rPr>
          <w:rFonts w:ascii="Andalus" w:hAnsi="Andalus" w:cs="Andalus"/>
          <w:sz w:val="24"/>
          <w:szCs w:val="24"/>
        </w:rPr>
      </w:pPr>
    </w:p>
    <w:p w:rsidR="00B459E5" w:rsidRDefault="00B459E5" w:rsidP="00B459E5">
      <w:pPr>
        <w:jc w:val="both"/>
        <w:rPr>
          <w:rFonts w:ascii="Andalus" w:hAnsi="Andalus" w:cs="Andalus"/>
          <w:sz w:val="24"/>
          <w:szCs w:val="24"/>
        </w:rPr>
      </w:pPr>
      <w:r w:rsidRPr="00B459E5">
        <w:rPr>
          <w:rFonts w:ascii="Monotype Corsiva" w:hAnsi="Monotype Corsiva" w:cs="Andalus"/>
          <w:b/>
          <w:sz w:val="28"/>
          <w:szCs w:val="28"/>
          <w:u w:val="single"/>
        </w:rPr>
        <w:t>WATER</w:t>
      </w:r>
      <w:r>
        <w:rPr>
          <w:rFonts w:ascii="Andalus" w:hAnsi="Andalus" w:cs="Andalus"/>
          <w:sz w:val="24"/>
          <w:szCs w:val="24"/>
        </w:rPr>
        <w:t xml:space="preserve"> –</w:t>
      </w:r>
    </w:p>
    <w:p w:rsidR="00B459E5" w:rsidRPr="00B459E5" w:rsidRDefault="00B459E5" w:rsidP="00B459E5">
      <w:pPr>
        <w:jc w:val="both"/>
        <w:rPr>
          <w:rFonts w:ascii="Andalus" w:hAnsi="Andalus" w:cs="Andalus"/>
          <w:sz w:val="24"/>
          <w:szCs w:val="24"/>
        </w:rPr>
      </w:pPr>
      <w:r w:rsidRPr="00B459E5">
        <w:rPr>
          <w:rFonts w:ascii="Andalus" w:hAnsi="Andalus" w:cs="Andalus"/>
          <w:sz w:val="24"/>
          <w:szCs w:val="24"/>
        </w:rPr>
        <w:t>An average annual surface water potential of 66.9 km³ has been assessed in this basin. Out of this, 50.0 km³ is utilisable water. Cultivable area in the basin is about 80,000 square kilometres (31,000 sq mi</w:t>
      </w:r>
      <w:r>
        <w:rPr>
          <w:rFonts w:ascii="Andalus" w:hAnsi="Andalus" w:cs="Andalus"/>
          <w:sz w:val="24"/>
          <w:szCs w:val="24"/>
        </w:rPr>
        <w:t>le</w:t>
      </w:r>
      <w:r w:rsidRPr="00B459E5">
        <w:rPr>
          <w:rFonts w:ascii="Andalus" w:hAnsi="Andalus" w:cs="Andalus"/>
          <w:sz w:val="24"/>
          <w:szCs w:val="24"/>
        </w:rPr>
        <w:t>), which is 4% of the total cultivable area of the country.</w:t>
      </w:r>
    </w:p>
    <w:p w:rsidR="00B459E5" w:rsidRDefault="00B459E5" w:rsidP="00B459E5">
      <w:pPr>
        <w:jc w:val="both"/>
        <w:rPr>
          <w:rFonts w:ascii="Andalus" w:hAnsi="Andalus" w:cs="Andalus"/>
          <w:sz w:val="24"/>
          <w:szCs w:val="24"/>
        </w:rPr>
      </w:pPr>
      <w:r w:rsidRPr="00B459E5">
        <w:rPr>
          <w:rFonts w:ascii="Andalus" w:hAnsi="Andalus" w:cs="Andalus"/>
          <w:sz w:val="24"/>
          <w:szCs w:val="24"/>
        </w:rPr>
        <w:lastRenderedPageBreak/>
        <w:t xml:space="preserve">Present use of surface water in the basin is 17.0 km³. Live storage capacity in the basin has increased significantly since independence. From just about 0.8 km³ in the pre-plan period, the total live storage capacity of the completed projects has increased to 8.5 km³. In addition, a substantial storage quantity of over 5.4 km³ would be created on completion of projects under construction. Additional storage to the tune of over 11.0 km³ would become available on execution of projects under consideration. The hydropower potential of the basin has been assessed </w:t>
      </w:r>
      <w:r>
        <w:rPr>
          <w:rFonts w:ascii="Andalus" w:hAnsi="Andalus" w:cs="Andalus"/>
          <w:sz w:val="24"/>
          <w:szCs w:val="24"/>
        </w:rPr>
        <w:t>as 627 MW at 60% load factor.</w:t>
      </w:r>
    </w:p>
    <w:p w:rsidR="00B459E5" w:rsidRDefault="00B459E5" w:rsidP="00B459E5">
      <w:pPr>
        <w:jc w:val="both"/>
        <w:rPr>
          <w:rFonts w:ascii="Andalus" w:hAnsi="Andalus" w:cs="Andalus"/>
          <w:sz w:val="24"/>
          <w:szCs w:val="24"/>
        </w:rPr>
      </w:pPr>
      <w:r>
        <w:rPr>
          <w:rFonts w:ascii="Andalus" w:hAnsi="Andalus" w:cs="Andalus"/>
          <w:noProof/>
          <w:sz w:val="24"/>
          <w:szCs w:val="24"/>
          <w:lang w:eastAsia="en-IN"/>
        </w:rPr>
        <w:drawing>
          <wp:inline distT="0" distB="0" distL="0" distR="0">
            <wp:extent cx="26193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6475_thumb.jpg"/>
                    <pic:cNvPicPr/>
                  </pic:nvPicPr>
                  <pic:blipFill>
                    <a:blip r:embed="rId7">
                      <a:extLst>
                        <a:ext uri="{28A0092B-C50C-407E-A947-70E740481C1C}">
                          <a14:useLocalDpi xmlns:a14="http://schemas.microsoft.com/office/drawing/2010/main" val="0"/>
                        </a:ext>
                      </a:extLst>
                    </a:blip>
                    <a:stretch>
                      <a:fillRect/>
                    </a:stretch>
                  </pic:blipFill>
                  <pic:spPr>
                    <a:xfrm>
                      <a:off x="0" y="0"/>
                      <a:ext cx="2619375" cy="1876425"/>
                    </a:xfrm>
                    <a:prstGeom prst="rect">
                      <a:avLst/>
                    </a:prstGeom>
                  </pic:spPr>
                </pic:pic>
              </a:graphicData>
            </a:graphic>
          </wp:inline>
        </w:drawing>
      </w:r>
      <w:r>
        <w:rPr>
          <w:rFonts w:ascii="Andalus" w:hAnsi="Andalus" w:cs="Andalus"/>
          <w:sz w:val="24"/>
          <w:szCs w:val="24"/>
        </w:rPr>
        <w:t xml:space="preserve">  </w:t>
      </w:r>
      <w:r>
        <w:rPr>
          <w:rFonts w:ascii="Andalus" w:hAnsi="Andalus" w:cs="Andalus"/>
          <w:noProof/>
          <w:sz w:val="24"/>
          <w:szCs w:val="24"/>
          <w:lang w:eastAsia="en-IN"/>
        </w:rPr>
        <w:drawing>
          <wp:inline distT="0" distB="0" distL="0" distR="0">
            <wp:extent cx="29813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1.jpg"/>
                    <pic:cNvPicPr/>
                  </pic:nvPicPr>
                  <pic:blipFill>
                    <a:blip r:embed="rId8">
                      <a:extLst>
                        <a:ext uri="{28A0092B-C50C-407E-A947-70E740481C1C}">
                          <a14:useLocalDpi xmlns:a14="http://schemas.microsoft.com/office/drawing/2010/main" val="0"/>
                        </a:ext>
                      </a:extLst>
                    </a:blip>
                    <a:stretch>
                      <a:fillRect/>
                    </a:stretch>
                  </pic:blipFill>
                  <pic:spPr>
                    <a:xfrm>
                      <a:off x="0" y="0"/>
                      <a:ext cx="2981325" cy="1876425"/>
                    </a:xfrm>
                    <a:prstGeom prst="rect">
                      <a:avLst/>
                    </a:prstGeom>
                  </pic:spPr>
                </pic:pic>
              </a:graphicData>
            </a:graphic>
          </wp:inline>
        </w:drawing>
      </w:r>
    </w:p>
    <w:p w:rsidR="00B459E5" w:rsidRPr="004A1FEB" w:rsidRDefault="004A1FEB" w:rsidP="00B459E5">
      <w:pPr>
        <w:jc w:val="both"/>
        <w:rPr>
          <w:rFonts w:ascii="Andalus" w:hAnsi="Andalus" w:cs="Andalus"/>
          <w:b/>
          <w:color w:val="C00000"/>
          <w:sz w:val="24"/>
          <w:szCs w:val="24"/>
        </w:rPr>
      </w:pP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t xml:space="preserve">                </w:t>
      </w:r>
      <w:r w:rsidRPr="004A1FEB">
        <w:rPr>
          <w:rFonts w:ascii="Andalus" w:hAnsi="Andalus" w:cs="Andalus"/>
          <w:b/>
          <w:color w:val="C00000"/>
          <w:sz w:val="24"/>
          <w:szCs w:val="24"/>
        </w:rPr>
        <w:t>Fig-1.b</w:t>
      </w:r>
    </w:p>
    <w:p w:rsidR="00B459E5" w:rsidRDefault="00B459E5" w:rsidP="00B459E5">
      <w:pPr>
        <w:jc w:val="both"/>
        <w:rPr>
          <w:rFonts w:ascii="Andalus" w:hAnsi="Andalus" w:cs="Andalus"/>
          <w:sz w:val="24"/>
          <w:szCs w:val="24"/>
        </w:rPr>
      </w:pPr>
      <w:r w:rsidRPr="00B459E5">
        <w:rPr>
          <w:rFonts w:ascii="Andalus" w:hAnsi="Andalus" w:cs="Andalus"/>
          <w:sz w:val="24"/>
          <w:szCs w:val="24"/>
        </w:rPr>
        <w:t xml:space="preserve">At its peak during the monsoon, the Mahanadi has a discharge rate of 2,000,000 cubic </w:t>
      </w:r>
      <w:r>
        <w:rPr>
          <w:rFonts w:ascii="Andalus" w:hAnsi="Andalus" w:cs="Andalus"/>
          <w:sz w:val="24"/>
          <w:szCs w:val="24"/>
        </w:rPr>
        <w:t xml:space="preserve">feet (57,000 m3) per second, </w:t>
      </w:r>
      <w:r w:rsidRPr="00B459E5">
        <w:rPr>
          <w:rFonts w:ascii="Andalus" w:hAnsi="Andalus" w:cs="Andalus"/>
          <w:sz w:val="24"/>
          <w:szCs w:val="24"/>
        </w:rPr>
        <w:t>almost as much as the much larger Ganges. However owing to its seasonal nature the river is mostly a narrow channel flanked by wide sand</w:t>
      </w:r>
      <w:r>
        <w:rPr>
          <w:rFonts w:ascii="Andalus" w:hAnsi="Andalus" w:cs="Andalus"/>
          <w:sz w:val="24"/>
          <w:szCs w:val="24"/>
        </w:rPr>
        <w:t xml:space="preserve"> banks for most of the year.</w:t>
      </w:r>
    </w:p>
    <w:p w:rsidR="00B459E5" w:rsidRDefault="001F5C01" w:rsidP="00B459E5">
      <w:pPr>
        <w:jc w:val="both"/>
        <w:rPr>
          <w:rFonts w:ascii="Andalus" w:hAnsi="Andalus" w:cs="Andalus"/>
          <w:sz w:val="24"/>
          <w:szCs w:val="24"/>
        </w:rPr>
      </w:pPr>
      <w:r w:rsidRPr="001F5C01">
        <w:rPr>
          <w:rFonts w:ascii="Monotype Corsiva" w:hAnsi="Monotype Corsiva" w:cs="Andalus"/>
          <w:b/>
          <w:sz w:val="28"/>
          <w:szCs w:val="28"/>
          <w:u w:val="single"/>
        </w:rPr>
        <w:t xml:space="preserve">IMPORTANT </w:t>
      </w:r>
      <w:r>
        <w:rPr>
          <w:rFonts w:ascii="Monotype Corsiva" w:hAnsi="Monotype Corsiva" w:cs="Andalus"/>
          <w:b/>
          <w:sz w:val="28"/>
          <w:szCs w:val="28"/>
          <w:u w:val="single"/>
        </w:rPr>
        <w:t>PLACES</w:t>
      </w:r>
      <w:r w:rsidRPr="001F5C01">
        <w:rPr>
          <w:rFonts w:ascii="Monotype Corsiva" w:hAnsi="Monotype Corsiva" w:cs="Andalus"/>
          <w:b/>
          <w:sz w:val="28"/>
          <w:szCs w:val="28"/>
          <w:u w:val="single"/>
        </w:rPr>
        <w:t xml:space="preserve"> </w:t>
      </w:r>
      <w:r>
        <w:rPr>
          <w:rFonts w:ascii="Monotype Corsiva" w:hAnsi="Monotype Corsiva" w:cs="Andalus"/>
          <w:b/>
          <w:sz w:val="28"/>
          <w:szCs w:val="28"/>
          <w:u w:val="single"/>
        </w:rPr>
        <w:t>ON</w:t>
      </w:r>
      <w:r w:rsidRPr="001F5C01">
        <w:rPr>
          <w:rFonts w:ascii="Monotype Corsiva" w:hAnsi="Monotype Corsiva" w:cs="Andalus"/>
          <w:b/>
          <w:sz w:val="28"/>
          <w:szCs w:val="28"/>
          <w:u w:val="single"/>
        </w:rPr>
        <w:t xml:space="preserve"> </w:t>
      </w:r>
      <w:r>
        <w:rPr>
          <w:rFonts w:ascii="Monotype Corsiva" w:hAnsi="Monotype Corsiva" w:cs="Andalus"/>
          <w:b/>
          <w:sz w:val="28"/>
          <w:szCs w:val="28"/>
          <w:u w:val="single"/>
        </w:rPr>
        <w:t>THE</w:t>
      </w:r>
      <w:r w:rsidRPr="001F5C01">
        <w:rPr>
          <w:rFonts w:ascii="Monotype Corsiva" w:hAnsi="Monotype Corsiva" w:cs="Andalus"/>
          <w:b/>
          <w:sz w:val="28"/>
          <w:szCs w:val="28"/>
          <w:u w:val="single"/>
        </w:rPr>
        <w:t xml:space="preserve"> </w:t>
      </w:r>
      <w:r>
        <w:rPr>
          <w:rFonts w:ascii="Monotype Corsiva" w:hAnsi="Monotype Corsiva" w:cs="Andalus"/>
          <w:b/>
          <w:sz w:val="28"/>
          <w:szCs w:val="28"/>
          <w:u w:val="single"/>
        </w:rPr>
        <w:t>RIVERBANKS</w:t>
      </w:r>
      <w:r w:rsidRPr="001F5C01">
        <w:rPr>
          <w:rFonts w:ascii="Monotype Corsiva" w:hAnsi="Monotype Corsiva" w:cs="Andalus"/>
          <w:b/>
          <w:sz w:val="28"/>
          <w:szCs w:val="28"/>
          <w:u w:val="single"/>
        </w:rPr>
        <w:t xml:space="preserve"> </w:t>
      </w:r>
      <w:r>
        <w:rPr>
          <w:rFonts w:ascii="Monotype Corsiva" w:hAnsi="Monotype Corsiva" w:cs="Andalus"/>
          <w:b/>
          <w:sz w:val="28"/>
          <w:szCs w:val="28"/>
          <w:u w:val="single"/>
        </w:rPr>
        <w:t>OF</w:t>
      </w:r>
      <w:r w:rsidRPr="001F5C01">
        <w:rPr>
          <w:rFonts w:ascii="Monotype Corsiva" w:hAnsi="Monotype Corsiva" w:cs="Andalus"/>
          <w:b/>
          <w:sz w:val="28"/>
          <w:szCs w:val="28"/>
          <w:u w:val="single"/>
        </w:rPr>
        <w:t xml:space="preserve"> </w:t>
      </w:r>
      <w:r>
        <w:rPr>
          <w:rFonts w:ascii="Monotype Corsiva" w:hAnsi="Monotype Corsiva" w:cs="Andalus"/>
          <w:b/>
          <w:sz w:val="28"/>
          <w:szCs w:val="28"/>
          <w:u w:val="single"/>
        </w:rPr>
        <w:t>MAHANADI</w:t>
      </w:r>
      <w:r>
        <w:rPr>
          <w:rFonts w:ascii="Andalus" w:hAnsi="Andalus" w:cs="Andalus"/>
          <w:sz w:val="24"/>
          <w:szCs w:val="24"/>
        </w:rPr>
        <w:t xml:space="preserve"> –</w:t>
      </w:r>
    </w:p>
    <w:p w:rsidR="001F5C01" w:rsidRPr="001F5C01" w:rsidRDefault="001F5C01" w:rsidP="001F5C01">
      <w:pPr>
        <w:jc w:val="both"/>
        <w:rPr>
          <w:rFonts w:ascii="Andalus" w:hAnsi="Andalus" w:cs="Andalus"/>
          <w:sz w:val="24"/>
          <w:szCs w:val="24"/>
        </w:rPr>
      </w:pPr>
      <w:r w:rsidRPr="001F5C01">
        <w:rPr>
          <w:rFonts w:ascii="Andalus" w:hAnsi="Andalus" w:cs="Andalus"/>
          <w:sz w:val="24"/>
          <w:szCs w:val="24"/>
        </w:rPr>
        <w:t>During its itinerary, the river passes through important regions such as Koshal, Dandakaranya, and Coastal Plains. It also traverses important cities and administrative areas like the following:</w:t>
      </w:r>
    </w:p>
    <w:p w:rsidR="001F5C01" w:rsidRPr="001F5C01" w:rsidRDefault="001F5C01" w:rsidP="001F5C01">
      <w:pPr>
        <w:jc w:val="both"/>
        <w:rPr>
          <w:rFonts w:ascii="Andalus" w:hAnsi="Andalus" w:cs="Andalus"/>
        </w:rPr>
      </w:pPr>
      <w:r>
        <w:rPr>
          <w:rFonts w:ascii="Andalus" w:hAnsi="Andalus" w:cs="Andalus"/>
        </w:rPr>
        <w:t>•</w:t>
      </w:r>
      <w:r>
        <w:rPr>
          <w:rFonts w:ascii="Andalus" w:hAnsi="Andalus" w:cs="Andalus"/>
        </w:rPr>
        <w:tab/>
        <w:t xml:space="preserve">Raipur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 xml:space="preserve">Betul </w:t>
      </w:r>
    </w:p>
    <w:p w:rsidR="001F5C01" w:rsidRPr="001F5C01" w:rsidRDefault="001F5C01" w:rsidP="001F5C01">
      <w:pPr>
        <w:jc w:val="both"/>
        <w:rPr>
          <w:rFonts w:ascii="Andalus" w:hAnsi="Andalus" w:cs="Andalus"/>
        </w:rPr>
      </w:pPr>
      <w:r>
        <w:rPr>
          <w:rFonts w:ascii="Andalus" w:hAnsi="Andalus" w:cs="Andalus"/>
        </w:rPr>
        <w:t>•</w:t>
      </w:r>
      <w:r>
        <w:rPr>
          <w:rFonts w:ascii="Andalus" w:hAnsi="Andalus" w:cs="Andalus"/>
        </w:rPr>
        <w:tab/>
        <w:t xml:space="preserve">Bilaspur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 xml:space="preserve">Janjgir </w:t>
      </w:r>
    </w:p>
    <w:p w:rsidR="001F5C01" w:rsidRPr="001F5C01" w:rsidRDefault="001F5C01" w:rsidP="001F5C01">
      <w:pPr>
        <w:jc w:val="both"/>
        <w:rPr>
          <w:rFonts w:ascii="Andalus" w:hAnsi="Andalus" w:cs="Andalus"/>
        </w:rPr>
      </w:pPr>
      <w:r>
        <w:rPr>
          <w:rFonts w:ascii="Andalus" w:hAnsi="Andalus" w:cs="Andalus"/>
        </w:rPr>
        <w:t>•</w:t>
      </w:r>
      <w:r>
        <w:rPr>
          <w:rFonts w:ascii="Andalus" w:hAnsi="Andalus" w:cs="Andalus"/>
        </w:rPr>
        <w:tab/>
        <w:t xml:space="preserve">Subarnapur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 xml:space="preserve">Sambalpur </w:t>
      </w:r>
    </w:p>
    <w:p w:rsidR="001F5C01" w:rsidRPr="001F5C01" w:rsidRDefault="001F5C01" w:rsidP="001F5C01">
      <w:pPr>
        <w:jc w:val="both"/>
        <w:rPr>
          <w:rFonts w:ascii="Andalus" w:hAnsi="Andalus" w:cs="Andalus"/>
        </w:rPr>
      </w:pPr>
      <w:r w:rsidRPr="001F5C01">
        <w:rPr>
          <w:rFonts w:ascii="Andalus" w:hAnsi="Andalus" w:cs="Andalus"/>
        </w:rPr>
        <w:t>•</w:t>
      </w:r>
      <w:r w:rsidRPr="001F5C01">
        <w:rPr>
          <w:rFonts w:ascii="Andalus" w:hAnsi="Andalus" w:cs="Andalus"/>
        </w:rPr>
        <w:tab/>
        <w:t xml:space="preserve">Anugul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Kendrapada</w:t>
      </w:r>
    </w:p>
    <w:p w:rsidR="001F5C01" w:rsidRPr="001F5C01" w:rsidRDefault="001F5C01" w:rsidP="001F5C01">
      <w:pPr>
        <w:jc w:val="both"/>
        <w:rPr>
          <w:rFonts w:ascii="Andalus" w:hAnsi="Andalus" w:cs="Andalus"/>
        </w:rPr>
      </w:pPr>
      <w:r>
        <w:rPr>
          <w:rFonts w:ascii="Andalus" w:hAnsi="Andalus" w:cs="Andalus"/>
        </w:rPr>
        <w:t>•</w:t>
      </w:r>
      <w:r>
        <w:rPr>
          <w:rFonts w:ascii="Andalus" w:hAnsi="Andalus" w:cs="Andalus"/>
        </w:rPr>
        <w:tab/>
        <w:t xml:space="preserve">Cuttack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 xml:space="preserve">Sonepur </w:t>
      </w:r>
    </w:p>
    <w:p w:rsidR="001F5C01" w:rsidRPr="001F5C01" w:rsidRDefault="001F5C01" w:rsidP="001F5C01">
      <w:pPr>
        <w:jc w:val="both"/>
        <w:rPr>
          <w:rFonts w:ascii="Andalus" w:hAnsi="Andalus" w:cs="Andalus"/>
        </w:rPr>
      </w:pPr>
      <w:r>
        <w:rPr>
          <w:rFonts w:ascii="Andalus" w:hAnsi="Andalus" w:cs="Andalus"/>
        </w:rPr>
        <w:t>•</w:t>
      </w:r>
      <w:r>
        <w:rPr>
          <w:rFonts w:ascii="Andalus" w:hAnsi="Andalus" w:cs="Andalus"/>
        </w:rPr>
        <w:tab/>
        <w:t xml:space="preserve">Sambalpur </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Subalaya</w:t>
      </w:r>
    </w:p>
    <w:p w:rsidR="001F5C01" w:rsidRPr="001F5C01" w:rsidRDefault="001F5C01" w:rsidP="001F5C01">
      <w:pPr>
        <w:jc w:val="both"/>
        <w:rPr>
          <w:rFonts w:ascii="Andalus" w:hAnsi="Andalus" w:cs="Andalus"/>
        </w:rPr>
      </w:pPr>
      <w:r w:rsidRPr="001F5C01">
        <w:rPr>
          <w:rFonts w:ascii="Andalus" w:hAnsi="Andalus" w:cs="Andalus"/>
        </w:rPr>
        <w:t>•</w:t>
      </w:r>
      <w:r w:rsidRPr="001F5C01">
        <w:rPr>
          <w:rFonts w:ascii="Andalus" w:hAnsi="Andalus" w:cs="Andalus"/>
        </w:rPr>
        <w:tab/>
        <w:t>Birmaharajpur</w:t>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Pr="001F5C01">
        <w:rPr>
          <w:rFonts w:ascii="Andalus" w:hAnsi="Andalus" w:cs="Andalus"/>
        </w:rPr>
        <w:t>•</w:t>
      </w:r>
      <w:r w:rsidRPr="001F5C01">
        <w:rPr>
          <w:rFonts w:ascii="Andalus" w:hAnsi="Andalus" w:cs="Andalus"/>
        </w:rPr>
        <w:tab/>
        <w:t>Boudh</w:t>
      </w:r>
    </w:p>
    <w:sectPr w:rsidR="001F5C01" w:rsidRPr="001F5C01" w:rsidSect="004A1FEB">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3D2" w:rsidRDefault="000043D2" w:rsidP="004C1F68">
      <w:pPr>
        <w:spacing w:after="0" w:line="240" w:lineRule="auto"/>
      </w:pPr>
      <w:r>
        <w:separator/>
      </w:r>
    </w:p>
  </w:endnote>
  <w:endnote w:type="continuationSeparator" w:id="0">
    <w:p w:rsidR="000043D2" w:rsidRDefault="000043D2" w:rsidP="004C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Kalinga">
    <w:panose1 w:val="020B0502040204020203"/>
    <w:charset w:val="00"/>
    <w:family w:val="swiss"/>
    <w:pitch w:val="variable"/>
    <w:sig w:usb0="0008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3D2" w:rsidRDefault="000043D2" w:rsidP="004C1F68">
      <w:pPr>
        <w:spacing w:after="0" w:line="240" w:lineRule="auto"/>
      </w:pPr>
      <w:r>
        <w:separator/>
      </w:r>
    </w:p>
  </w:footnote>
  <w:footnote w:type="continuationSeparator" w:id="0">
    <w:p w:rsidR="000043D2" w:rsidRDefault="000043D2" w:rsidP="004C1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F68" w:rsidRDefault="004C1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B3"/>
    <w:rsid w:val="000043D2"/>
    <w:rsid w:val="001F5C01"/>
    <w:rsid w:val="00256362"/>
    <w:rsid w:val="002B39EA"/>
    <w:rsid w:val="004A1FEB"/>
    <w:rsid w:val="004C1F68"/>
    <w:rsid w:val="009157B3"/>
    <w:rsid w:val="00A258EA"/>
    <w:rsid w:val="00B4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4BCC5-9649-4875-AC21-537E3E29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F68"/>
  </w:style>
  <w:style w:type="paragraph" w:styleId="Footer">
    <w:name w:val="footer"/>
    <w:basedOn w:val="Normal"/>
    <w:link w:val="FooterChar"/>
    <w:uiPriority w:val="99"/>
    <w:unhideWhenUsed/>
    <w:rsid w:val="004C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TOFA</cp:lastModifiedBy>
  <cp:revision>3</cp:revision>
  <dcterms:created xsi:type="dcterms:W3CDTF">2015-04-17T20:38:00Z</dcterms:created>
  <dcterms:modified xsi:type="dcterms:W3CDTF">2015-04-20T07:09:00Z</dcterms:modified>
</cp:coreProperties>
</file>