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GC-PROVE Appraisal Checklist</w:t>
      </w:r>
    </w:p>
    <w:p>
      <w:r>
        <w:t>This checklist is an appraisal aid for gastric cancer public-omics secondary analysis. It is not a formal risk-of-bias instrument and does not replace TRIPOD, TRIPOD+AI, PROBAST, or journal-specific reporting requirements.</w:t>
      </w:r>
    </w:p>
    <w:p>
      <w:r>
        <w:t>Table 6. GC-PROVE appraisal rubric for gastric cancer public-omics secondary analysis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GC-PROVE domain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Score 0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Score 1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Score 2</w:t>
            </w:r>
          </w:p>
        </w:tc>
        <w:tc>
          <w:tcPr>
            <w:tcW w:type="dxa" w:w="1728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17"/>
              </w:rPr>
              <w:t>Reviewer question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Problem anchoring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Pipeline- or gene-set-driven study without a clear question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Broad biological theme but vague clinical or mechanistic target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Explicit clinical, biological, or validation question with intended claim type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What decision, mechanism, or validation gap does the analysis address?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Resource provenance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Dataset names missing or unreconstructable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Accessions reported but filtering, endpoints, or overlap incompletely described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Accessions, versions, sample filters, endpoint definitions, missingness, and cohort overlap are auditable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Can another analyst reconstruct the cohort?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Omics workflow transparency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Preprocessing, feature selection, or model formula unavailable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Partial workflow reported, but code, versions, or tuning details incomplete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Normalization, gene mapping, batch correction, feature selection, model formula, coefficients, software versions, and code are provided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Are preprocessing and modeling choices reproducible?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Validation hierarchy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Discovery cohort only or validation after model rebuilding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External or biological support present but model/thresholds are not fully locked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Locked external validation plus relevant tissue, protein, spatial, functional, or clinical support proportional to the claim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Is the claim appropriately limited by its validation level?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Evidence restraint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Conclusions imply clinical readiness from retrospective public data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Limitations mentioned but translational language remains stronger than evidence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Findings are framed as candidates or hypotheses unless clinical utility has been directly tested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Is clinical language matched to the evidence?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Prediction-model rigor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Discrimination or Kaplan-Meier separation only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Some calibration, DCA, or clinical comparator is reported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Locked formula, calibration, DCA, clinical comparator, and intended-use context are all reported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Does the model improve on clinical predictors in an interpretable context?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High-resolution omics rigor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Single-cell or spatial data used as decorative confirmation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Cell annotation or spatial context discussed with limited validation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Integration choices, annotation uncertainty, spatial platform limits, and orthogonal support are explicitly addressed</w:t>
            </w:r>
          </w:p>
        </w:tc>
        <w:tc>
          <w:tcPr>
            <w:tcW w:type="dxa" w:w="17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Are cell states and spatial niches independently supported?</w:t>
            </w:r>
          </w:p>
        </w:tc>
      </w:tr>
      <w:tr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Reproducibility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No code, coefficients, cutoffs, package versions, or random seed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Partial code or parameters available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Executable code, model object, feature list, coefficients, cutoffs, versions, seeds, and derived materials are available</w:t>
            </w:r>
          </w:p>
        </w:tc>
        <w:tc>
          <w:tcPr>
            <w:tcW w:type="dxa" w:w="1728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>Could the central figure or risk score be reproduced?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