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2"/>
        </w:rPr>
        <w:t>Supplementary Table S5. Validation design of representative gastric cancer prognostic-signature studies, verified against the full text of each cited article</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sz w:val="17"/>
              </w:rPr>
              <w:t>Study (Reference)</w:t>
            </w:r>
          </w:p>
        </w:tc>
        <w:tc>
          <w:tcPr>
            <w:tcW w:type="dxa" w:w="785"/>
          </w:tcPr>
          <w:p>
            <w:r>
              <w:rPr>
                <w:b/>
                <w:sz w:val="17"/>
              </w:rPr>
              <w:t>Theme</w:t>
            </w:r>
          </w:p>
        </w:tc>
        <w:tc>
          <w:tcPr>
            <w:tcW w:type="dxa" w:w="785"/>
          </w:tcPr>
          <w:p>
            <w:r>
              <w:rPr>
                <w:b/>
                <w:sz w:val="17"/>
              </w:rPr>
              <w:t>Development cohort</w:t>
            </w:r>
          </w:p>
        </w:tc>
        <w:tc>
          <w:tcPr>
            <w:tcW w:type="dxa" w:w="785"/>
          </w:tcPr>
          <w:p>
            <w:r>
              <w:rPr>
                <w:b/>
                <w:sz w:val="17"/>
              </w:rPr>
              <w:t>Validation cohort / design</w:t>
            </w:r>
          </w:p>
        </w:tc>
        <w:tc>
          <w:tcPr>
            <w:tcW w:type="dxa" w:w="785"/>
          </w:tcPr>
          <w:p>
            <w:r>
              <w:rPr>
                <w:b/>
                <w:sz w:val="17"/>
              </w:rPr>
              <w:t>Endpoint</w:t>
            </w:r>
          </w:p>
        </w:tc>
        <w:tc>
          <w:tcPr>
            <w:tcW w:type="dxa" w:w="785"/>
          </w:tcPr>
          <w:p>
            <w:r>
              <w:rPr>
                <w:b/>
                <w:sz w:val="17"/>
              </w:rPr>
              <w:t>Patient independence</w:t>
            </w:r>
          </w:p>
        </w:tc>
        <w:tc>
          <w:tcPr>
            <w:tcW w:type="dxa" w:w="785"/>
          </w:tcPr>
          <w:p>
            <w:r>
              <w:rPr>
                <w:b/>
                <w:sz w:val="17"/>
              </w:rPr>
              <w:t>Clinical comparison</w:t>
            </w:r>
          </w:p>
        </w:tc>
        <w:tc>
          <w:tcPr>
            <w:tcW w:type="dxa" w:w="785"/>
          </w:tcPr>
          <w:p>
            <w:r>
              <w:rPr>
                <w:b/>
                <w:sz w:val="17"/>
              </w:rPr>
              <w:t>Reported calibration</w:t>
            </w:r>
          </w:p>
        </w:tc>
        <w:tc>
          <w:tcPr>
            <w:tcW w:type="dxa" w:w="785"/>
          </w:tcPr>
          <w:p>
            <w:r>
              <w:rPr>
                <w:b/>
                <w:sz w:val="17"/>
              </w:rPr>
              <w:t>Reported decision curve</w:t>
            </w:r>
          </w:p>
        </w:tc>
        <w:tc>
          <w:tcPr>
            <w:tcW w:type="dxa" w:w="785"/>
          </w:tcPr>
          <w:p>
            <w:r>
              <w:rPr>
                <w:b/>
                <w:sz w:val="17"/>
              </w:rPr>
              <w:t>Where documented in source</w:t>
            </w:r>
          </w:p>
        </w:tc>
        <w:tc>
          <w:tcPr>
            <w:tcW w:type="dxa" w:w="785"/>
          </w:tcPr>
          <w:p>
            <w:r>
              <w:rPr>
                <w:b/>
                <w:sz w:val="17"/>
              </w:rPr>
              <w:t>Source</w:t>
            </w:r>
          </w:p>
        </w:tc>
      </w:tr>
      <w:tr>
        <w:tc>
          <w:tcPr>
            <w:tcW w:type="dxa" w:w="785"/>
          </w:tcPr>
          <w:p>
            <w:pPr>
              <w:spacing w:after="40"/>
            </w:pPr>
            <w:r>
              <w:rPr>
                <w:sz w:val="17"/>
              </w:rPr>
              <w:t>Chang 2023 (37)</w:t>
            </w:r>
          </w:p>
        </w:tc>
        <w:tc>
          <w:tcPr>
            <w:tcW w:type="dxa" w:w="785"/>
          </w:tcPr>
          <w:p>
            <w:pPr>
              <w:spacing w:after="40"/>
            </w:pPr>
            <w:r>
              <w:rPr>
                <w:sz w:val="17"/>
              </w:rPr>
              <w:t>Mitochondrial-related genes</w:t>
            </w:r>
          </w:p>
        </w:tc>
        <w:tc>
          <w:tcPr>
            <w:tcW w:type="dxa" w:w="785"/>
          </w:tcPr>
          <w:p>
            <w:pPr>
              <w:spacing w:after="40"/>
            </w:pPr>
            <w:r>
              <w:rPr>
                <w:sz w:val="17"/>
              </w:rPr>
              <w:t>TCGA-STAD (training)</w:t>
            </w:r>
          </w:p>
        </w:tc>
        <w:tc>
          <w:tcPr>
            <w:tcW w:type="dxa" w:w="785"/>
          </w:tcPr>
          <w:p>
            <w:pPr>
              <w:spacing w:after="40"/>
            </w:pPr>
            <w:r>
              <w:rPr>
                <w:sz w:val="17"/>
              </w:rPr>
              <w:t>External: GSE66229, GSE15459</w:t>
            </w:r>
          </w:p>
        </w:tc>
        <w:tc>
          <w:tcPr>
            <w:tcW w:type="dxa" w:w="785"/>
          </w:tcPr>
          <w:p>
            <w:pPr>
              <w:spacing w:after="40"/>
            </w:pPr>
            <w:r>
              <w:rPr>
                <w:sz w:val="17"/>
              </w:rPr>
              <w:t>Overall survival</w:t>
            </w:r>
          </w:p>
        </w:tc>
        <w:tc>
          <w:tcPr>
            <w:tcW w:type="dxa" w:w="785"/>
          </w:tcPr>
          <w:p>
            <w:pPr>
              <w:spacing w:after="40"/>
            </w:pPr>
            <w:r>
              <w:rPr>
                <w:sz w:val="17"/>
              </w:rPr>
              <w:t>Independent external cohorts</w:t>
            </w:r>
          </w:p>
        </w:tc>
        <w:tc>
          <w:tcPr>
            <w:tcW w:type="dxa" w:w="785"/>
          </w:tcPr>
          <w:p>
            <w:pPr>
              <w:spacing w:after="40"/>
            </w:pPr>
            <w:r>
              <w:rPr>
                <w:sz w:val="17"/>
              </w:rPr>
              <w:t>TNM stage / clinical variables</w:t>
            </w:r>
          </w:p>
        </w:tc>
        <w:tc>
          <w:tcPr>
            <w:tcW w:type="dxa" w:w="785"/>
          </w:tcPr>
          <w:p>
            <w:pPr>
              <w:spacing w:after="40"/>
            </w:pPr>
            <w:r>
              <w:rPr>
                <w:sz w:val="17"/>
              </w:rPr>
              <w:t>Yes</w:t>
            </w:r>
          </w:p>
        </w:tc>
        <w:tc>
          <w:tcPr>
            <w:tcW w:type="dxa" w:w="785"/>
          </w:tcPr>
          <w:p>
            <w:pPr>
              <w:spacing w:after="40"/>
            </w:pPr>
            <w:r>
              <w:rPr>
                <w:sz w:val="17"/>
              </w:rPr>
              <w:t>Yes</w:t>
            </w:r>
          </w:p>
        </w:tc>
        <w:tc>
          <w:tcPr>
            <w:tcW w:type="dxa" w:w="785"/>
          </w:tcPr>
          <w:p>
            <w:pPr>
              <w:spacing w:after="40"/>
            </w:pPr>
            <w:r>
              <w:rPr>
                <w:sz w:val="17"/>
              </w:rPr>
              <w:t>Methods (data and cohort description); Results and figures for the training and validation cohorts</w:t>
            </w:r>
          </w:p>
        </w:tc>
        <w:tc>
          <w:tcPr>
            <w:tcW w:type="dxa" w:w="785"/>
          </w:tcPr>
          <w:p>
            <w:pPr>
              <w:spacing w:after="40"/>
            </w:pPr>
            <w:r>
              <w:rPr>
                <w:sz w:val="17"/>
              </w:rPr>
              <w:t>PMID 36915111</w:t>
            </w:r>
          </w:p>
        </w:tc>
      </w:tr>
      <w:tr>
        <w:tc>
          <w:tcPr>
            <w:tcW w:type="dxa" w:w="785"/>
          </w:tcPr>
          <w:p>
            <w:pPr>
              <w:spacing w:after="40"/>
            </w:pPr>
            <w:r>
              <w:rPr>
                <w:sz w:val="17"/>
              </w:rPr>
              <w:t>Huang 2023 (38)</w:t>
            </w:r>
          </w:p>
        </w:tc>
        <w:tc>
          <w:tcPr>
            <w:tcW w:type="dxa" w:w="785"/>
          </w:tcPr>
          <w:p>
            <w:pPr>
              <w:spacing w:after="40"/>
            </w:pPr>
            <w:r>
              <w:rPr>
                <w:sz w:val="17"/>
              </w:rPr>
              <w:t>CHSY3 / immune infiltration</w:t>
            </w:r>
          </w:p>
        </w:tc>
        <w:tc>
          <w:tcPr>
            <w:tcW w:type="dxa" w:w="785"/>
          </w:tcPr>
          <w:p>
            <w:pPr>
              <w:spacing w:after="40"/>
            </w:pPr>
            <w:r>
              <w:rPr>
                <w:sz w:val="17"/>
              </w:rPr>
              <w:t>TCGA plus GEO expression datasets</w:t>
            </w:r>
          </w:p>
        </w:tc>
        <w:tc>
          <w:tcPr>
            <w:tcW w:type="dxa" w:w="785"/>
          </w:tcPr>
          <w:p>
            <w:pPr>
              <w:spacing w:after="40"/>
            </w:pPr>
            <w:r>
              <w:rPr>
                <w:sz w:val="17"/>
              </w:rPr>
              <w:t>Multi-dataset expression and prognosis analysis (GSE66229, GSE65801, GSE63089, GSE54129, GSE51575, GSE26901, GSE84433); no single locked signature model</w:t>
            </w:r>
          </w:p>
        </w:tc>
        <w:tc>
          <w:tcPr>
            <w:tcW w:type="dxa" w:w="785"/>
          </w:tcPr>
          <w:p>
            <w:pPr>
              <w:spacing w:after="40"/>
            </w:pPr>
            <w:r>
              <w:rPr>
                <w:sz w:val="17"/>
              </w:rPr>
              <w:t>Overall survival</w:t>
            </w:r>
          </w:p>
        </w:tc>
        <w:tc>
          <w:tcPr>
            <w:tcW w:type="dxa" w:w="785"/>
          </w:tcPr>
          <w:p>
            <w:pPr>
              <w:spacing w:after="40"/>
            </w:pPr>
            <w:r>
              <w:rPr>
                <w:sz w:val="17"/>
              </w:rPr>
              <w:t>Multiple independent public datasets; no locked model applied to a held-out cohort</w:t>
            </w:r>
          </w:p>
        </w:tc>
        <w:tc>
          <w:tcPr>
            <w:tcW w:type="dxa" w:w="785"/>
          </w:tcPr>
          <w:p>
            <w:pPr>
              <w:spacing w:after="40"/>
            </w:pPr>
            <w:r>
              <w:rPr>
                <w:sz w:val="17"/>
              </w:rPr>
              <w:t>Clinicopathological variables</w:t>
            </w:r>
          </w:p>
        </w:tc>
        <w:tc>
          <w:tcPr>
            <w:tcW w:type="dxa" w:w="785"/>
          </w:tcPr>
          <w:p>
            <w:pPr>
              <w:spacing w:after="40"/>
            </w:pPr>
            <w:r>
              <w:rPr>
                <w:sz w:val="17"/>
              </w:rPr>
              <w:t>Yes</w:t>
            </w:r>
          </w:p>
        </w:tc>
        <w:tc>
          <w:tcPr>
            <w:tcW w:type="dxa" w:w="785"/>
          </w:tcPr>
          <w:p>
            <w:pPr>
              <w:spacing w:after="40"/>
            </w:pPr>
            <w:r>
              <w:rPr>
                <w:sz w:val="17"/>
              </w:rPr>
              <w:t>Not reported</w:t>
            </w:r>
          </w:p>
        </w:tc>
        <w:tc>
          <w:tcPr>
            <w:tcW w:type="dxa" w:w="785"/>
          </w:tcPr>
          <w:p>
            <w:pPr>
              <w:spacing w:after="40"/>
            </w:pPr>
            <w:r>
              <w:rPr>
                <w:sz w:val="17"/>
              </w:rPr>
              <w:t>Methods (dataset description); Results (expression and survival analyses)</w:t>
            </w:r>
          </w:p>
        </w:tc>
        <w:tc>
          <w:tcPr>
            <w:tcW w:type="dxa" w:w="785"/>
          </w:tcPr>
          <w:p>
            <w:pPr>
              <w:spacing w:after="40"/>
            </w:pPr>
            <w:r>
              <w:rPr>
                <w:sz w:val="17"/>
              </w:rPr>
              <w:t>PMID 37461041</w:t>
            </w:r>
          </w:p>
        </w:tc>
      </w:tr>
      <w:tr>
        <w:tc>
          <w:tcPr>
            <w:tcW w:type="dxa" w:w="785"/>
          </w:tcPr>
          <w:p>
            <w:pPr>
              <w:spacing w:after="40"/>
            </w:pPr>
            <w:r>
              <w:rPr>
                <w:sz w:val="17"/>
              </w:rPr>
              <w:t>Zhu 2024 (39)</w:t>
            </w:r>
          </w:p>
        </w:tc>
        <w:tc>
          <w:tcPr>
            <w:tcW w:type="dxa" w:w="785"/>
          </w:tcPr>
          <w:p>
            <w:pPr>
              <w:spacing w:after="40"/>
            </w:pPr>
            <w:r>
              <w:rPr>
                <w:sz w:val="17"/>
              </w:rPr>
              <w:t>Amino acid metabolism</w:t>
            </w:r>
          </w:p>
        </w:tc>
        <w:tc>
          <w:tcPr>
            <w:tcW w:type="dxa" w:w="785"/>
          </w:tcPr>
          <w:p>
            <w:pPr>
              <w:spacing w:after="40"/>
            </w:pPr>
            <w:r>
              <w:rPr>
                <w:sz w:val="17"/>
              </w:rPr>
              <w:t>TCGA-STAD</w:t>
            </w:r>
          </w:p>
        </w:tc>
        <w:tc>
          <w:tcPr>
            <w:tcW w:type="dxa" w:w="785"/>
          </w:tcPr>
          <w:p>
            <w:pPr>
              <w:spacing w:after="40"/>
            </w:pPr>
            <w:r>
              <w:rPr>
                <w:sz w:val="17"/>
              </w:rPr>
              <w:t>External: GSE84433, GSE84437, GSE84426; Mendelian randomization component</w:t>
            </w:r>
          </w:p>
        </w:tc>
        <w:tc>
          <w:tcPr>
            <w:tcW w:type="dxa" w:w="785"/>
          </w:tcPr>
          <w:p>
            <w:pPr>
              <w:spacing w:after="40"/>
            </w:pPr>
            <w:r>
              <w:rPr>
                <w:sz w:val="17"/>
              </w:rPr>
              <w:t>Overall survival</w:t>
            </w:r>
          </w:p>
        </w:tc>
        <w:tc>
          <w:tcPr>
            <w:tcW w:type="dxa" w:w="785"/>
          </w:tcPr>
          <w:p>
            <w:pPr>
              <w:spacing w:after="40"/>
            </w:pPr>
            <w:r>
              <w:rPr>
                <w:sz w:val="17"/>
              </w:rPr>
              <w:t>Independent external cohorts</w:t>
            </w:r>
          </w:p>
        </w:tc>
        <w:tc>
          <w:tcPr>
            <w:tcW w:type="dxa" w:w="785"/>
          </w:tcPr>
          <w:p>
            <w:pPr>
              <w:spacing w:after="40"/>
            </w:pPr>
            <w:r>
              <w:rPr>
                <w:sz w:val="17"/>
              </w:rPr>
              <w:t>Not compared</w:t>
            </w:r>
          </w:p>
        </w:tc>
        <w:tc>
          <w:tcPr>
            <w:tcW w:type="dxa" w:w="785"/>
          </w:tcPr>
          <w:p>
            <w:pPr>
              <w:spacing w:after="40"/>
            </w:pPr>
            <w:r>
              <w:rPr>
                <w:sz w:val="17"/>
              </w:rPr>
              <w:t>Yes</w:t>
            </w:r>
          </w:p>
        </w:tc>
        <w:tc>
          <w:tcPr>
            <w:tcW w:type="dxa" w:w="785"/>
          </w:tcPr>
          <w:p>
            <w:pPr>
              <w:spacing w:after="40"/>
            </w:pPr>
            <w:r>
              <w:rPr>
                <w:sz w:val="17"/>
              </w:rPr>
              <w:t>Yes</w:t>
            </w:r>
          </w:p>
        </w:tc>
        <w:tc>
          <w:tcPr>
            <w:tcW w:type="dxa" w:w="785"/>
          </w:tcPr>
          <w:p>
            <w:pPr>
              <w:spacing w:after="40"/>
            </w:pPr>
            <w:r>
              <w:rPr>
                <w:sz w:val="17"/>
              </w:rPr>
              <w:t>Methods (data sources); Results (validation and nomogram)</w:t>
            </w:r>
          </w:p>
        </w:tc>
        <w:tc>
          <w:tcPr>
            <w:tcW w:type="dxa" w:w="785"/>
          </w:tcPr>
          <w:p>
            <w:pPr>
              <w:spacing w:after="40"/>
            </w:pPr>
            <w:r>
              <w:rPr>
                <w:sz w:val="17"/>
              </w:rPr>
              <w:t>PMID 39353384</w:t>
            </w:r>
          </w:p>
        </w:tc>
      </w:tr>
      <w:tr>
        <w:tc>
          <w:tcPr>
            <w:tcW w:type="dxa" w:w="785"/>
          </w:tcPr>
          <w:p>
            <w:pPr>
              <w:spacing w:after="40"/>
            </w:pPr>
            <w:r>
              <w:rPr>
                <w:sz w:val="17"/>
              </w:rPr>
              <w:t>Li 2024 (40)</w:t>
            </w:r>
          </w:p>
        </w:tc>
        <w:tc>
          <w:tcPr>
            <w:tcW w:type="dxa" w:w="785"/>
          </w:tcPr>
          <w:p>
            <w:pPr>
              <w:spacing w:after="40"/>
            </w:pPr>
            <w:r>
              <w:rPr>
                <w:sz w:val="17"/>
              </w:rPr>
              <w:t>Pyroptosis / single-cell-informed</w:t>
            </w:r>
          </w:p>
        </w:tc>
        <w:tc>
          <w:tcPr>
            <w:tcW w:type="dxa" w:w="785"/>
          </w:tcPr>
          <w:p>
            <w:pPr>
              <w:spacing w:after="40"/>
            </w:pPr>
            <w:r>
              <w:rPr>
                <w:sz w:val="17"/>
              </w:rPr>
              <w:t>TCGA-STAD plus scRNA-seq GSE183904</w:t>
            </w:r>
          </w:p>
        </w:tc>
        <w:tc>
          <w:tcPr>
            <w:tcW w:type="dxa" w:w="785"/>
          </w:tcPr>
          <w:p>
            <w:pPr>
              <w:spacing w:after="40"/>
            </w:pPr>
            <w:r>
              <w:rPr>
                <w:sz w:val="17"/>
              </w:rPr>
              <w:t>External: GSE62254 (Asian Cancer Research Group cohort, n = 300)</w:t>
            </w:r>
          </w:p>
        </w:tc>
        <w:tc>
          <w:tcPr>
            <w:tcW w:type="dxa" w:w="785"/>
          </w:tcPr>
          <w:p>
            <w:pPr>
              <w:spacing w:after="40"/>
            </w:pPr>
            <w:r>
              <w:rPr>
                <w:sz w:val="17"/>
              </w:rPr>
              <w:t>Overall survival, disease-free survival</w:t>
            </w:r>
          </w:p>
        </w:tc>
        <w:tc>
          <w:tcPr>
            <w:tcW w:type="dxa" w:w="785"/>
          </w:tcPr>
          <w:p>
            <w:pPr>
              <w:spacing w:after="40"/>
            </w:pPr>
            <w:r>
              <w:rPr>
                <w:sz w:val="17"/>
              </w:rPr>
              <w:t>Independent external cohort; scRNA-seq data used for contextualisation rather than validation</w:t>
            </w:r>
          </w:p>
        </w:tc>
        <w:tc>
          <w:tcPr>
            <w:tcW w:type="dxa" w:w="785"/>
          </w:tcPr>
          <w:p>
            <w:pPr>
              <w:spacing w:after="40"/>
            </w:pPr>
            <w:r>
              <w:rPr>
                <w:sz w:val="17"/>
              </w:rPr>
              <w:t>TNM stage / clinical variables</w:t>
            </w:r>
          </w:p>
        </w:tc>
        <w:tc>
          <w:tcPr>
            <w:tcW w:type="dxa" w:w="785"/>
          </w:tcPr>
          <w:p>
            <w:pPr>
              <w:spacing w:after="40"/>
            </w:pPr>
            <w:r>
              <w:rPr>
                <w:sz w:val="17"/>
              </w:rPr>
              <w:t>Yes</w:t>
            </w:r>
          </w:p>
        </w:tc>
        <w:tc>
          <w:tcPr>
            <w:tcW w:type="dxa" w:w="785"/>
          </w:tcPr>
          <w:p>
            <w:pPr>
              <w:spacing w:after="40"/>
            </w:pPr>
            <w:r>
              <w:rPr>
                <w:sz w:val="17"/>
              </w:rPr>
              <w:t>Not reported</w:t>
            </w:r>
          </w:p>
        </w:tc>
        <w:tc>
          <w:tcPr>
            <w:tcW w:type="dxa" w:w="785"/>
          </w:tcPr>
          <w:p>
            <w:pPr>
              <w:spacing w:after="40"/>
            </w:pPr>
            <w:r>
              <w:rPr>
                <w:sz w:val="17"/>
              </w:rPr>
              <w:t>Methods (scRNA-seq and bulk data); Results (GSE62254 validation)</w:t>
            </w:r>
          </w:p>
        </w:tc>
        <w:tc>
          <w:tcPr>
            <w:tcW w:type="dxa" w:w="785"/>
          </w:tcPr>
          <w:p>
            <w:pPr>
              <w:spacing w:after="40"/>
            </w:pPr>
            <w:r>
              <w:rPr>
                <w:sz w:val="17"/>
              </w:rPr>
              <w:t>PMID 38404710</w:t>
            </w:r>
          </w:p>
        </w:tc>
      </w:tr>
      <w:tr>
        <w:tc>
          <w:tcPr>
            <w:tcW w:type="dxa" w:w="785"/>
          </w:tcPr>
          <w:p>
            <w:pPr>
              <w:spacing w:after="40"/>
            </w:pPr>
            <w:r>
              <w:rPr>
                <w:sz w:val="17"/>
              </w:rPr>
              <w:t>Cai 2024 (41)</w:t>
            </w:r>
          </w:p>
        </w:tc>
        <w:tc>
          <w:tcPr>
            <w:tcW w:type="dxa" w:w="785"/>
          </w:tcPr>
          <w:p>
            <w:pPr>
              <w:spacing w:after="40"/>
            </w:pPr>
            <w:r>
              <w:rPr>
                <w:sz w:val="17"/>
              </w:rPr>
              <w:t>lncRNA / peritoneal recurrence</w:t>
            </w:r>
          </w:p>
        </w:tc>
        <w:tc>
          <w:tcPr>
            <w:tcW w:type="dxa" w:w="785"/>
          </w:tcPr>
          <w:p>
            <w:pPr>
              <w:spacing w:after="40"/>
            </w:pPr>
            <w:r>
              <w:rPr>
                <w:sz w:val="17"/>
              </w:rPr>
              <w:t>SYSUCC discovery cohort (12 patients; paired peritoneal, primary tumour, and normal tissue)</w:t>
            </w:r>
          </w:p>
        </w:tc>
        <w:tc>
          <w:tcPr>
            <w:tcW w:type="dxa" w:w="785"/>
          </w:tcPr>
          <w:p>
            <w:pPr>
              <w:spacing w:after="40"/>
            </w:pPr>
            <w:r>
              <w:rPr>
                <w:sz w:val="17"/>
              </w:rPr>
              <w:t>SYSUCC validation cohort (231 stage II-III patients) plus interactive analysis against TCGA</w:t>
            </w:r>
          </w:p>
        </w:tc>
        <w:tc>
          <w:tcPr>
            <w:tcW w:type="dxa" w:w="785"/>
          </w:tcPr>
          <w:p>
            <w:pPr>
              <w:spacing w:after="40"/>
            </w:pPr>
            <w:r>
              <w:rPr>
                <w:sz w:val="17"/>
              </w:rPr>
              <w:t>Peritoneal recurrence / prognosis</w:t>
            </w:r>
          </w:p>
        </w:tc>
        <w:tc>
          <w:tcPr>
            <w:tcW w:type="dxa" w:w="785"/>
          </w:tcPr>
          <w:p>
            <w:pPr>
              <w:spacing w:after="40"/>
            </w:pPr>
            <w:r>
              <w:rPr>
                <w:sz w:val="17"/>
              </w:rPr>
              <w:t>Validation uses a separate patient set at the same institution; not an external multicentre cohort</w:t>
            </w:r>
          </w:p>
        </w:tc>
        <w:tc>
          <w:tcPr>
            <w:tcW w:type="dxa" w:w="785"/>
          </w:tcPr>
          <w:p>
            <w:pPr>
              <w:spacing w:after="40"/>
            </w:pPr>
            <w:r>
              <w:rPr>
                <w:sz w:val="17"/>
              </w:rPr>
              <w:t>Clinical variables</w:t>
            </w:r>
          </w:p>
        </w:tc>
        <w:tc>
          <w:tcPr>
            <w:tcW w:type="dxa" w:w="785"/>
          </w:tcPr>
          <w:p>
            <w:pPr>
              <w:spacing w:after="40"/>
            </w:pPr>
            <w:r>
              <w:rPr>
                <w:sz w:val="17"/>
              </w:rPr>
              <w:t>Not reported</w:t>
            </w:r>
          </w:p>
        </w:tc>
        <w:tc>
          <w:tcPr>
            <w:tcW w:type="dxa" w:w="785"/>
          </w:tcPr>
          <w:p>
            <w:pPr>
              <w:spacing w:after="40"/>
            </w:pPr>
            <w:r>
              <w:rPr>
                <w:sz w:val="17"/>
              </w:rPr>
              <w:t>Not reported</w:t>
            </w:r>
          </w:p>
        </w:tc>
        <w:tc>
          <w:tcPr>
            <w:tcW w:type="dxa" w:w="785"/>
          </w:tcPr>
          <w:p>
            <w:pPr>
              <w:spacing w:after="40"/>
            </w:pPr>
            <w:r>
              <w:rPr>
                <w:sz w:val="17"/>
              </w:rPr>
              <w:t>Methods (SYSUCC discovery and validation cohorts); Results (key lncRNA identification)</w:t>
            </w:r>
          </w:p>
        </w:tc>
        <w:tc>
          <w:tcPr>
            <w:tcW w:type="dxa" w:w="785"/>
          </w:tcPr>
          <w:p>
            <w:pPr>
              <w:spacing w:after="40"/>
            </w:pPr>
            <w:r>
              <w:rPr>
                <w:sz w:val="17"/>
              </w:rPr>
              <w:t>PMID 39736670</w:t>
            </w:r>
          </w:p>
        </w:tc>
      </w:tr>
      <w:tr>
        <w:tc>
          <w:tcPr>
            <w:tcW w:type="dxa" w:w="785"/>
          </w:tcPr>
          <w:p>
            <w:pPr>
              <w:spacing w:after="40"/>
            </w:pPr>
            <w:r>
              <w:rPr>
                <w:sz w:val="17"/>
              </w:rPr>
              <w:t>Jiang 2025 (42)</w:t>
            </w:r>
          </w:p>
        </w:tc>
        <w:tc>
          <w:tcPr>
            <w:tcW w:type="dxa" w:w="785"/>
          </w:tcPr>
          <w:p>
            <w:pPr>
              <w:spacing w:after="40"/>
            </w:pPr>
            <w:r>
              <w:rPr>
                <w:sz w:val="17"/>
              </w:rPr>
              <w:t>Migrasome-related lncRNAs</w:t>
            </w:r>
          </w:p>
        </w:tc>
        <w:tc>
          <w:tcPr>
            <w:tcW w:type="dxa" w:w="785"/>
          </w:tcPr>
          <w:p>
            <w:pPr>
              <w:spacing w:after="40"/>
            </w:pPr>
            <w:r>
              <w:rPr>
                <w:sz w:val="17"/>
              </w:rPr>
              <w:t>TCGA-STAD</w:t>
            </w:r>
          </w:p>
        </w:tc>
        <w:tc>
          <w:tcPr>
            <w:tcW w:type="dxa" w:w="785"/>
          </w:tcPr>
          <w:p>
            <w:pPr>
              <w:spacing w:after="40"/>
            </w:pPr>
            <w:r>
              <w:rPr>
                <w:sz w:val="17"/>
              </w:rPr>
              <w:t>Internal only: random training/testing split of the same TCGA cohort</w:t>
            </w:r>
          </w:p>
        </w:tc>
        <w:tc>
          <w:tcPr>
            <w:tcW w:type="dxa" w:w="785"/>
          </w:tcPr>
          <w:p>
            <w:pPr>
              <w:spacing w:after="40"/>
            </w:pPr>
            <w:r>
              <w:rPr>
                <w:sz w:val="17"/>
              </w:rPr>
              <w:t>Overall survival</w:t>
            </w:r>
          </w:p>
        </w:tc>
        <w:tc>
          <w:tcPr>
            <w:tcW w:type="dxa" w:w="785"/>
          </w:tcPr>
          <w:p>
            <w:pPr>
              <w:spacing w:after="40"/>
            </w:pPr>
            <w:r>
              <w:rPr>
                <w:sz w:val="17"/>
              </w:rPr>
              <w:t>NOT independent: testing set drawn from the same cohort as the training set</w:t>
            </w:r>
          </w:p>
        </w:tc>
        <w:tc>
          <w:tcPr>
            <w:tcW w:type="dxa" w:w="785"/>
          </w:tcPr>
          <w:p>
            <w:pPr>
              <w:spacing w:after="40"/>
            </w:pPr>
            <w:r>
              <w:rPr>
                <w:sz w:val="17"/>
              </w:rPr>
              <w:t>TNM stage / clinical variables</w:t>
            </w:r>
          </w:p>
        </w:tc>
        <w:tc>
          <w:tcPr>
            <w:tcW w:type="dxa" w:w="785"/>
          </w:tcPr>
          <w:p>
            <w:pPr>
              <w:spacing w:after="40"/>
            </w:pPr>
            <w:r>
              <w:rPr>
                <w:sz w:val="17"/>
              </w:rPr>
              <w:t>Yes</w:t>
            </w:r>
          </w:p>
        </w:tc>
        <w:tc>
          <w:tcPr>
            <w:tcW w:type="dxa" w:w="785"/>
          </w:tcPr>
          <w:p>
            <w:pPr>
              <w:spacing w:after="40"/>
            </w:pPr>
            <w:r>
              <w:rPr>
                <w:sz w:val="17"/>
              </w:rPr>
              <w:t>Yes</w:t>
            </w:r>
          </w:p>
        </w:tc>
        <w:tc>
          <w:tcPr>
            <w:tcW w:type="dxa" w:w="785"/>
          </w:tcPr>
          <w:p>
            <w:pPr>
              <w:spacing w:after="40"/>
            </w:pPr>
            <w:r>
              <w:rPr>
                <w:sz w:val="17"/>
              </w:rPr>
              <w:t>Methods (random assignment to training and testing sets); Results</w:t>
            </w:r>
          </w:p>
        </w:tc>
        <w:tc>
          <w:tcPr>
            <w:tcW w:type="dxa" w:w="785"/>
          </w:tcPr>
          <w:p>
            <w:pPr>
              <w:spacing w:after="40"/>
            </w:pPr>
            <w:r>
              <w:rPr>
                <w:sz w:val="17"/>
              </w:rPr>
              <w:t>PMID 40281132</w:t>
            </w:r>
          </w:p>
        </w:tc>
      </w:tr>
      <w:tr>
        <w:tc>
          <w:tcPr>
            <w:tcW w:type="dxa" w:w="785"/>
          </w:tcPr>
          <w:p>
            <w:pPr>
              <w:spacing w:after="40"/>
            </w:pPr>
            <w:r>
              <w:rPr>
                <w:sz w:val="17"/>
              </w:rPr>
              <w:t>Zhang 2025 (43)</w:t>
            </w:r>
          </w:p>
        </w:tc>
        <w:tc>
          <w:tcPr>
            <w:tcW w:type="dxa" w:w="785"/>
          </w:tcPr>
          <w:p>
            <w:pPr>
              <w:spacing w:after="40"/>
            </w:pPr>
            <w:r>
              <w:rPr>
                <w:sz w:val="17"/>
              </w:rPr>
              <w:t>Antigen-presenting fibroblasts / single-cell</w:t>
            </w:r>
          </w:p>
        </w:tc>
        <w:tc>
          <w:tcPr>
            <w:tcW w:type="dxa" w:w="785"/>
          </w:tcPr>
          <w:p>
            <w:pPr>
              <w:spacing w:after="40"/>
            </w:pPr>
            <w:r>
              <w:rPr>
                <w:sz w:val="17"/>
              </w:rPr>
              <w:t>TCGA-STAD</w:t>
            </w:r>
          </w:p>
        </w:tc>
        <w:tc>
          <w:tcPr>
            <w:tcW w:type="dxa" w:w="785"/>
          </w:tcPr>
          <w:p>
            <w:pPr>
              <w:spacing w:after="40"/>
            </w:pPr>
            <w:r>
              <w:rPr>
                <w:sz w:val="17"/>
              </w:rPr>
              <w:t>External: GSE62254, GSE15459</w:t>
            </w:r>
          </w:p>
        </w:tc>
        <w:tc>
          <w:tcPr>
            <w:tcW w:type="dxa" w:w="785"/>
          </w:tcPr>
          <w:p>
            <w:pPr>
              <w:spacing w:after="40"/>
            </w:pPr>
            <w:r>
              <w:rPr>
                <w:sz w:val="17"/>
              </w:rPr>
              <w:t>Overall survival</w:t>
            </w:r>
          </w:p>
        </w:tc>
        <w:tc>
          <w:tcPr>
            <w:tcW w:type="dxa" w:w="785"/>
          </w:tcPr>
          <w:p>
            <w:pPr>
              <w:spacing w:after="40"/>
            </w:pPr>
            <w:r>
              <w:rPr>
                <w:sz w:val="17"/>
              </w:rPr>
              <w:t>Independent external cohorts</w:t>
            </w:r>
          </w:p>
        </w:tc>
        <w:tc>
          <w:tcPr>
            <w:tcW w:type="dxa" w:w="785"/>
          </w:tcPr>
          <w:p>
            <w:pPr>
              <w:spacing w:after="40"/>
            </w:pPr>
            <w:r>
              <w:rPr>
                <w:sz w:val="17"/>
              </w:rPr>
              <w:t>TNM stage / clinical variables</w:t>
            </w:r>
          </w:p>
        </w:tc>
        <w:tc>
          <w:tcPr>
            <w:tcW w:type="dxa" w:w="785"/>
          </w:tcPr>
          <w:p>
            <w:pPr>
              <w:spacing w:after="40"/>
            </w:pPr>
            <w:r>
              <w:rPr>
                <w:sz w:val="17"/>
              </w:rPr>
              <w:t>Yes</w:t>
            </w:r>
          </w:p>
        </w:tc>
        <w:tc>
          <w:tcPr>
            <w:tcW w:type="dxa" w:w="785"/>
          </w:tcPr>
          <w:p>
            <w:pPr>
              <w:spacing w:after="40"/>
            </w:pPr>
            <w:r>
              <w:rPr>
                <w:sz w:val="17"/>
              </w:rPr>
              <w:t>Not reported</w:t>
            </w:r>
          </w:p>
        </w:tc>
        <w:tc>
          <w:tcPr>
            <w:tcW w:type="dxa" w:w="785"/>
          </w:tcPr>
          <w:p>
            <w:pPr>
              <w:spacing w:after="40"/>
            </w:pPr>
            <w:r>
              <w:rPr>
                <w:sz w:val="17"/>
              </w:rPr>
              <w:t>Methods (validation datasets); Results (validation KM and ROC)</w:t>
            </w:r>
          </w:p>
        </w:tc>
        <w:tc>
          <w:tcPr>
            <w:tcW w:type="dxa" w:w="785"/>
          </w:tcPr>
          <w:p>
            <w:pPr>
              <w:spacing w:after="40"/>
            </w:pPr>
            <w:r>
              <w:rPr>
                <w:sz w:val="17"/>
              </w:rPr>
              <w:t>PMID 40544264</w:t>
            </w:r>
          </w:p>
        </w:tc>
      </w:tr>
      <w:tr>
        <w:tc>
          <w:tcPr>
            <w:tcW w:type="dxa" w:w="785"/>
          </w:tcPr>
          <w:p>
            <w:pPr>
              <w:spacing w:after="40"/>
            </w:pPr>
            <w:r>
              <w:rPr>
                <w:sz w:val="17"/>
              </w:rPr>
              <w:t>Yang 2025 (44)</w:t>
            </w:r>
          </w:p>
        </w:tc>
        <w:tc>
          <w:tcPr>
            <w:tcW w:type="dxa" w:w="785"/>
          </w:tcPr>
          <w:p>
            <w:pPr>
              <w:spacing w:after="40"/>
            </w:pPr>
            <w:r>
              <w:rPr>
                <w:sz w:val="17"/>
              </w:rPr>
              <w:t>Hypoxia-associated genes</w:t>
            </w:r>
          </w:p>
        </w:tc>
        <w:tc>
          <w:tcPr>
            <w:tcW w:type="dxa" w:w="785"/>
          </w:tcPr>
          <w:p>
            <w:pPr>
              <w:spacing w:after="40"/>
            </w:pPr>
            <w:r>
              <w:rPr>
                <w:sz w:val="17"/>
              </w:rPr>
              <w:t>TCGA-STAD</w:t>
            </w:r>
          </w:p>
        </w:tc>
        <w:tc>
          <w:tcPr>
            <w:tcW w:type="dxa" w:w="785"/>
          </w:tcPr>
          <w:p>
            <w:pPr>
              <w:spacing w:after="40"/>
            </w:pPr>
            <w:r>
              <w:rPr>
                <w:sz w:val="17"/>
              </w:rPr>
              <w:t>External: GSE15460 (n = 248)</w:t>
            </w:r>
          </w:p>
        </w:tc>
        <w:tc>
          <w:tcPr>
            <w:tcW w:type="dxa" w:w="785"/>
          </w:tcPr>
          <w:p>
            <w:pPr>
              <w:spacing w:after="40"/>
            </w:pPr>
            <w:r>
              <w:rPr>
                <w:sz w:val="17"/>
              </w:rPr>
              <w:t>Overall survival</w:t>
            </w:r>
          </w:p>
        </w:tc>
        <w:tc>
          <w:tcPr>
            <w:tcW w:type="dxa" w:w="785"/>
          </w:tcPr>
          <w:p>
            <w:pPr>
              <w:spacing w:after="40"/>
            </w:pPr>
            <w:r>
              <w:rPr>
                <w:sz w:val="17"/>
              </w:rPr>
              <w:t>Independent external cohort</w:t>
            </w:r>
          </w:p>
        </w:tc>
        <w:tc>
          <w:tcPr>
            <w:tcW w:type="dxa" w:w="785"/>
          </w:tcPr>
          <w:p>
            <w:pPr>
              <w:spacing w:after="40"/>
            </w:pPr>
            <w:r>
              <w:rPr>
                <w:sz w:val="17"/>
              </w:rPr>
              <w:t>Clinicopathological variables</w:t>
            </w:r>
          </w:p>
        </w:tc>
        <w:tc>
          <w:tcPr>
            <w:tcW w:type="dxa" w:w="785"/>
          </w:tcPr>
          <w:p>
            <w:pPr>
              <w:spacing w:after="40"/>
            </w:pPr>
            <w:r>
              <w:rPr>
                <w:sz w:val="17"/>
              </w:rPr>
              <w:t>Not reported</w:t>
            </w:r>
          </w:p>
        </w:tc>
        <w:tc>
          <w:tcPr>
            <w:tcW w:type="dxa" w:w="785"/>
          </w:tcPr>
          <w:p>
            <w:pPr>
              <w:spacing w:after="40"/>
            </w:pPr>
            <w:r>
              <w:rPr>
                <w:sz w:val="17"/>
              </w:rPr>
              <w:t>Not reported</w:t>
            </w:r>
          </w:p>
        </w:tc>
        <w:tc>
          <w:tcPr>
            <w:tcW w:type="dxa" w:w="785"/>
          </w:tcPr>
          <w:p>
            <w:pPr>
              <w:spacing w:after="40"/>
            </w:pPr>
            <w:r>
              <w:rPr>
                <w:sz w:val="17"/>
              </w:rPr>
              <w:t>Methods (validation set); Results (model validation)</w:t>
            </w:r>
          </w:p>
        </w:tc>
        <w:tc>
          <w:tcPr>
            <w:tcW w:type="dxa" w:w="785"/>
          </w:tcPr>
          <w:p>
            <w:pPr>
              <w:spacing w:after="40"/>
            </w:pPr>
            <w:r>
              <w:rPr>
                <w:sz w:val="17"/>
              </w:rPr>
              <w:t>PMID 40129974</w:t>
            </w:r>
          </w:p>
        </w:tc>
      </w:tr>
      <w:tr>
        <w:tc>
          <w:tcPr>
            <w:tcW w:type="dxa" w:w="785"/>
          </w:tcPr>
          <w:p>
            <w:pPr>
              <w:spacing w:after="40"/>
            </w:pPr>
            <w:r>
              <w:rPr>
                <w:sz w:val="17"/>
              </w:rPr>
              <w:t>Jin 2025 (45)</w:t>
            </w:r>
          </w:p>
        </w:tc>
        <w:tc>
          <w:tcPr>
            <w:tcW w:type="dxa" w:w="785"/>
          </w:tcPr>
          <w:p>
            <w:pPr>
              <w:spacing w:after="40"/>
            </w:pPr>
            <w:r>
              <w:rPr>
                <w:sz w:val="17"/>
              </w:rPr>
              <w:t>Intratumoral microbiome</w:t>
            </w:r>
          </w:p>
        </w:tc>
        <w:tc>
          <w:tcPr>
            <w:tcW w:type="dxa" w:w="785"/>
          </w:tcPr>
          <w:p>
            <w:pPr>
              <w:spacing w:after="40"/>
            </w:pPr>
            <w:r>
              <w:rPr>
                <w:sz w:val="17"/>
              </w:rPr>
              <w:t>TCGA-STAD (training set)</w:t>
            </w:r>
          </w:p>
        </w:tc>
        <w:tc>
          <w:tcPr>
            <w:tcW w:type="dxa" w:w="785"/>
          </w:tcPr>
          <w:p>
            <w:pPr>
              <w:spacing w:after="40"/>
            </w:pPr>
            <w:r>
              <w:rPr>
                <w:sz w:val="17"/>
              </w:rPr>
              <w:t>Datasets reported include GSE183904 and GSE62254; external-validation status not explicitly delineated</w:t>
            </w:r>
          </w:p>
        </w:tc>
        <w:tc>
          <w:tcPr>
            <w:tcW w:type="dxa" w:w="785"/>
          </w:tcPr>
          <w:p>
            <w:pPr>
              <w:spacing w:after="40"/>
            </w:pPr>
            <w:r>
              <w:rPr>
                <w:sz w:val="17"/>
              </w:rPr>
              <w:t>Overall survival</w:t>
            </w:r>
          </w:p>
        </w:tc>
        <w:tc>
          <w:tcPr>
            <w:tcW w:type="dxa" w:w="785"/>
          </w:tcPr>
          <w:p>
            <w:pPr>
              <w:spacing w:after="40"/>
            </w:pPr>
            <w:r>
              <w:rPr>
                <w:sz w:val="17"/>
              </w:rPr>
              <w:t>Not clearly delineated in the source article</w:t>
            </w:r>
          </w:p>
        </w:tc>
        <w:tc>
          <w:tcPr>
            <w:tcW w:type="dxa" w:w="785"/>
          </w:tcPr>
          <w:p>
            <w:pPr>
              <w:spacing w:after="40"/>
            </w:pPr>
            <w:r>
              <w:rPr>
                <w:sz w:val="17"/>
              </w:rPr>
              <w:t>TNM stage / clinical variables</w:t>
            </w:r>
          </w:p>
        </w:tc>
        <w:tc>
          <w:tcPr>
            <w:tcW w:type="dxa" w:w="785"/>
          </w:tcPr>
          <w:p>
            <w:pPr>
              <w:spacing w:after="40"/>
            </w:pPr>
            <w:r>
              <w:rPr>
                <w:sz w:val="17"/>
              </w:rPr>
              <w:t>Yes</w:t>
            </w:r>
          </w:p>
        </w:tc>
        <w:tc>
          <w:tcPr>
            <w:tcW w:type="dxa" w:w="785"/>
          </w:tcPr>
          <w:p>
            <w:pPr>
              <w:spacing w:after="40"/>
            </w:pPr>
            <w:r>
              <w:rPr>
                <w:sz w:val="17"/>
              </w:rPr>
              <w:t>Not reported</w:t>
            </w:r>
          </w:p>
        </w:tc>
        <w:tc>
          <w:tcPr>
            <w:tcW w:type="dxa" w:w="785"/>
          </w:tcPr>
          <w:p>
            <w:pPr>
              <w:spacing w:after="40"/>
            </w:pPr>
            <w:r>
              <w:rPr>
                <w:sz w:val="17"/>
              </w:rPr>
              <w:t>Methods (data sources); Results (training-set risk model)</w:t>
            </w:r>
          </w:p>
        </w:tc>
        <w:tc>
          <w:tcPr>
            <w:tcW w:type="dxa" w:w="785"/>
          </w:tcPr>
          <w:p>
            <w:pPr>
              <w:spacing w:after="40"/>
            </w:pPr>
            <w:r>
              <w:rPr>
                <w:sz w:val="17"/>
              </w:rPr>
              <w:t>PMID 40677704</w:t>
            </w:r>
          </w:p>
        </w:tc>
      </w:tr>
      <w:tr>
        <w:tc>
          <w:tcPr>
            <w:tcW w:type="dxa" w:w="785"/>
          </w:tcPr>
          <w:p>
            <w:pPr>
              <w:spacing w:after="40"/>
            </w:pPr>
            <w:r>
              <w:rPr>
                <w:sz w:val="17"/>
              </w:rPr>
              <w:t>Yang 2025 (46)</w:t>
            </w:r>
          </w:p>
        </w:tc>
        <w:tc>
          <w:tcPr>
            <w:tcW w:type="dxa" w:w="785"/>
          </w:tcPr>
          <w:p>
            <w:pPr>
              <w:spacing w:after="40"/>
            </w:pPr>
            <w:r>
              <w:rPr>
                <w:sz w:val="17"/>
              </w:rPr>
              <w:t>Multiple machine-learning algorithms</w:t>
            </w:r>
          </w:p>
        </w:tc>
        <w:tc>
          <w:tcPr>
            <w:tcW w:type="dxa" w:w="785"/>
          </w:tcPr>
          <w:p>
            <w:pPr>
              <w:spacing w:after="40"/>
            </w:pPr>
            <w:r>
              <w:rPr>
                <w:sz w:val="17"/>
              </w:rPr>
              <w:t>TCGA-STAD</w:t>
            </w:r>
          </w:p>
        </w:tc>
        <w:tc>
          <w:tcPr>
            <w:tcW w:type="dxa" w:w="785"/>
          </w:tcPr>
          <w:p>
            <w:pPr>
              <w:spacing w:after="40"/>
            </w:pPr>
            <w:r>
              <w:rPr>
                <w:sz w:val="17"/>
              </w:rPr>
              <w:t>External: GSE84437, GSE26253</w:t>
            </w:r>
          </w:p>
        </w:tc>
        <w:tc>
          <w:tcPr>
            <w:tcW w:type="dxa" w:w="785"/>
          </w:tcPr>
          <w:p>
            <w:pPr>
              <w:spacing w:after="40"/>
            </w:pPr>
            <w:r>
              <w:rPr>
                <w:sz w:val="17"/>
              </w:rPr>
              <w:t>Overall survival</w:t>
            </w:r>
          </w:p>
        </w:tc>
        <w:tc>
          <w:tcPr>
            <w:tcW w:type="dxa" w:w="785"/>
          </w:tcPr>
          <w:p>
            <w:pPr>
              <w:spacing w:after="40"/>
            </w:pPr>
            <w:r>
              <w:rPr>
                <w:sz w:val="17"/>
              </w:rPr>
              <w:t>Independent external cohorts</w:t>
            </w:r>
          </w:p>
        </w:tc>
        <w:tc>
          <w:tcPr>
            <w:tcW w:type="dxa" w:w="785"/>
          </w:tcPr>
          <w:p>
            <w:pPr>
              <w:spacing w:after="40"/>
            </w:pPr>
            <w:r>
              <w:rPr>
                <w:sz w:val="17"/>
              </w:rPr>
              <w:t>Univariate and multivariate Cox analysis with clinical variables</w:t>
            </w:r>
          </w:p>
        </w:tc>
        <w:tc>
          <w:tcPr>
            <w:tcW w:type="dxa" w:w="785"/>
          </w:tcPr>
          <w:p>
            <w:pPr>
              <w:spacing w:after="40"/>
            </w:pPr>
            <w:r>
              <w:rPr>
                <w:sz w:val="17"/>
              </w:rPr>
              <w:t>Not reported</w:t>
            </w:r>
          </w:p>
        </w:tc>
        <w:tc>
          <w:tcPr>
            <w:tcW w:type="dxa" w:w="785"/>
          </w:tcPr>
          <w:p>
            <w:pPr>
              <w:spacing w:after="40"/>
            </w:pPr>
            <w:r>
              <w:rPr>
                <w:sz w:val="17"/>
              </w:rPr>
              <w:t>Not reported</w:t>
            </w:r>
          </w:p>
        </w:tc>
        <w:tc>
          <w:tcPr>
            <w:tcW w:type="dxa" w:w="785"/>
          </w:tcPr>
          <w:p>
            <w:pPr>
              <w:spacing w:after="40"/>
            </w:pPr>
            <w:r>
              <w:rPr>
                <w:sz w:val="17"/>
              </w:rPr>
              <w:t>Methods (GEO datasets); Results (model construction and verification)</w:t>
            </w:r>
          </w:p>
        </w:tc>
        <w:tc>
          <w:tcPr>
            <w:tcW w:type="dxa" w:w="785"/>
          </w:tcPr>
          <w:p>
            <w:pPr>
              <w:spacing w:after="40"/>
            </w:pPr>
            <w:r>
              <w:rPr>
                <w:sz w:val="17"/>
              </w:rPr>
              <w:t>PMID 41085794</w:t>
            </w:r>
          </w:p>
        </w:tc>
      </w:tr>
      <w:tr>
        <w:tc>
          <w:tcPr>
            <w:tcW w:type="dxa" w:w="785"/>
          </w:tcPr>
          <w:p>
            <w:pPr>
              <w:spacing w:after="40"/>
            </w:pPr>
            <w:r>
              <w:rPr>
                <w:sz w:val="17"/>
              </w:rPr>
              <w:t>Wang 2025 (47)</w:t>
            </w:r>
          </w:p>
        </w:tc>
        <w:tc>
          <w:tcPr>
            <w:tcW w:type="dxa" w:w="785"/>
          </w:tcPr>
          <w:p>
            <w:pPr>
              <w:spacing w:after="40"/>
            </w:pPr>
            <w:r>
              <w:rPr>
                <w:sz w:val="17"/>
              </w:rPr>
              <w:t>Multi-omics plus deep learning</w:t>
            </w:r>
          </w:p>
        </w:tc>
        <w:tc>
          <w:tcPr>
            <w:tcW w:type="dxa" w:w="785"/>
          </w:tcPr>
          <w:p>
            <w:pPr>
              <w:spacing w:after="40"/>
            </w:pPr>
            <w:r>
              <w:rPr>
                <w:sz w:val="17"/>
              </w:rPr>
              <w:t>TCGA-STAD, CPTAC, scRNA-seq (HRA004702, GSE183904, GSE163558, GSE308231)</w:t>
            </w:r>
          </w:p>
        </w:tc>
        <w:tc>
          <w:tcPr>
            <w:tcW w:type="dxa" w:w="785"/>
          </w:tcPr>
          <w:p>
            <w:pPr>
              <w:spacing w:after="40"/>
            </w:pPr>
            <w:r>
              <w:rPr>
                <w:sz w:val="17"/>
              </w:rPr>
              <w:t>Internal held-out validation set for the image-based deep-learning model; multi-omics integration for the prognostic framework</w:t>
            </w:r>
          </w:p>
        </w:tc>
        <w:tc>
          <w:tcPr>
            <w:tcW w:type="dxa" w:w="785"/>
          </w:tcPr>
          <w:p>
            <w:pPr>
              <w:spacing w:after="40"/>
            </w:pPr>
            <w:r>
              <w:rPr>
                <w:sz w:val="17"/>
              </w:rPr>
              <w:t>Prognosis</w:t>
            </w:r>
          </w:p>
        </w:tc>
        <w:tc>
          <w:tcPr>
            <w:tcW w:type="dxa" w:w="785"/>
          </w:tcPr>
          <w:p>
            <w:pPr>
              <w:spacing w:after="40"/>
            </w:pPr>
            <w:r>
              <w:rPr>
                <w:sz w:val="17"/>
              </w:rPr>
              <w:t>Internal held-out split for the image model; not an external cohort</w:t>
            </w:r>
          </w:p>
        </w:tc>
        <w:tc>
          <w:tcPr>
            <w:tcW w:type="dxa" w:w="785"/>
          </w:tcPr>
          <w:p>
            <w:pPr>
              <w:spacing w:after="40"/>
            </w:pPr>
            <w:r>
              <w:rPr>
                <w:sz w:val="17"/>
              </w:rPr>
              <w:t>Not reported</w:t>
            </w:r>
          </w:p>
        </w:tc>
        <w:tc>
          <w:tcPr>
            <w:tcW w:type="dxa" w:w="785"/>
          </w:tcPr>
          <w:p>
            <w:pPr>
              <w:spacing w:after="40"/>
            </w:pPr>
            <w:r>
              <w:rPr>
                <w:sz w:val="17"/>
              </w:rPr>
              <w:t>Not reported</w:t>
            </w:r>
          </w:p>
        </w:tc>
        <w:tc>
          <w:tcPr>
            <w:tcW w:type="dxa" w:w="785"/>
          </w:tcPr>
          <w:p>
            <w:pPr>
              <w:spacing w:after="40"/>
            </w:pPr>
            <w:r>
              <w:rPr>
                <w:sz w:val="17"/>
              </w:rPr>
              <w:t>Not reported</w:t>
            </w:r>
          </w:p>
        </w:tc>
        <w:tc>
          <w:tcPr>
            <w:tcW w:type="dxa" w:w="785"/>
          </w:tcPr>
          <w:p>
            <w:pPr>
              <w:spacing w:after="40"/>
            </w:pPr>
            <w:r>
              <w:rPr>
                <w:sz w:val="17"/>
              </w:rPr>
              <w:t>Methods (dataset collection and train/validation split); Results (model development and validation)</w:t>
            </w:r>
          </w:p>
        </w:tc>
        <w:tc>
          <w:tcPr>
            <w:tcW w:type="dxa" w:w="785"/>
          </w:tcPr>
          <w:p>
            <w:pPr>
              <w:spacing w:after="40"/>
            </w:pPr>
            <w:r>
              <w:rPr>
                <w:sz w:val="17"/>
              </w:rPr>
              <w:t>PMID 41360923</w:t>
            </w:r>
          </w:p>
        </w:tc>
      </w:tr>
    </w:tbl>
    <w:p>
      <w:r>
        <w:rPr>
          <w:sz w:val="17"/>
        </w:rPr>
        <w:t>Note. Entries were verified against the full text of each article (or its abstract and indexed metadata where the full text is not open access); the PubMed identifier of each source is given in the final column. “Not reported” indicates that the item was not described in the cited article; it does not establish that the analysis was not performed. Validation designs differ substantially across studies, so comparisons of validation quality should be made at the level of individual study designs rather than by theme.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