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480"/>
        <w:jc w:val="center"/>
      </w:pPr>
      <w:r>
        <w:rPr>
          <w:rFonts w:ascii="Calibri" w:hAnsi="Calibri"/>
          <w:b/>
          <w:color w:val="1B4965"/>
          <w:sz w:val="44"/>
        </w:rPr>
        <w:t>Degradation Prediction of Lithium-Ion Batteries: A Comparative Study of Symbolic Regression, SINDy, LSTM, and Random Forest Approaches</w:t>
      </w:r>
    </w:p>
    <w:p>
      <w:pPr>
        <w:spacing w:after="80"/>
        <w:jc w:val="center"/>
      </w:pPr>
      <w:r>
        <w:rPr>
          <w:rFonts w:ascii="Calibri" w:hAnsi="Calibri"/>
          <w:b/>
          <w:sz w:val="22"/>
        </w:rPr>
        <w:t>Sarina Ukea, Sushanth Chandrashekarb, Hariprasad Kodamanab,c,d,*, Dibakar Rakshita,*</w:t>
      </w:r>
    </w:p>
    <w:p>
      <w:pPr>
        <w:spacing w:after="80"/>
        <w:jc w:val="center"/>
      </w:pPr>
      <w:r>
        <w:rPr>
          <w:rFonts w:ascii="Calibri" w:hAnsi="Calibri"/>
          <w:i/>
          <w:color w:val="555555"/>
          <w:sz w:val="19"/>
        </w:rPr>
        <w:t>a Department of Energy Science and Engineering, Indian Institute of Technology Delhi, New Delhi, India</w:t>
      </w:r>
    </w:p>
    <w:p>
      <w:pPr>
        <w:spacing w:after="80"/>
        <w:jc w:val="center"/>
      </w:pPr>
      <w:r>
        <w:rPr>
          <w:rFonts w:ascii="Calibri" w:hAnsi="Calibri"/>
          <w:i/>
          <w:color w:val="555555"/>
          <w:sz w:val="19"/>
        </w:rPr>
        <w:t>b Department of Computer Science and Engineering, Bangalore University, Bangalore, India</w:t>
      </w:r>
    </w:p>
    <w:p>
      <w:pPr>
        <w:spacing w:after="80"/>
        <w:jc w:val="center"/>
      </w:pPr>
      <w:r>
        <w:rPr>
          <w:rFonts w:ascii="Calibri" w:hAnsi="Calibri"/>
          <w:i/>
          <w:color w:val="555555"/>
          <w:sz w:val="19"/>
        </w:rPr>
        <w:t>c Department of Chemical Engineering, Indian Institute of Technology Delhi, New Delhi, India</w:t>
      </w:r>
    </w:p>
    <w:p>
      <w:pPr>
        <w:spacing w:after="80"/>
        <w:jc w:val="center"/>
      </w:pPr>
      <w:r>
        <w:rPr>
          <w:rFonts w:ascii="Calibri" w:hAnsi="Calibri"/>
          <w:i/>
          <w:color w:val="555555"/>
          <w:sz w:val="19"/>
        </w:rPr>
        <w:t>d Yardi School of Artificial Intelligence, Indian Institute of Technology Delhi, New Delhi, India</w:t>
      </w:r>
    </w:p>
    <w:p>
      <w:pPr>
        <w:spacing w:after="80"/>
        <w:jc w:val="center"/>
      </w:pPr>
      <w:r>
        <w:rPr>
          <w:rFonts w:ascii="Calibri" w:hAnsi="Calibri"/>
          <w:i/>
          <w:color w:val="555555"/>
          <w:sz w:val="19"/>
        </w:rPr>
        <w:t>* Corresponding Authors: kodamana@iitd.ac.in, Dibakar.Rakshit@dese.iitd.ac.in</w:t>
      </w:r>
    </w:p>
    <w:p>
      <w:pPr>
        <w:keepNext/>
        <w:spacing w:before="360" w:after="120"/>
      </w:pPr>
      <w:r>
        <w:rPr>
          <w:rFonts w:ascii="Calibri" w:hAnsi="Calibri"/>
          <w:b/>
          <w:color w:val="1B4965"/>
          <w:sz w:val="30"/>
        </w:rPr>
        <w:t>Abstract</w:t>
      </w:r>
    </w:p>
    <w:p>
      <w:pPr>
        <w:ind w:left="576" w:right="576"/>
        <w:jc w:val="both"/>
      </w:pPr>
      <w:r>
        <w:rPr>
          <w:i/>
        </w:rPr>
        <w:t>Accurate prediction of battery State of Health (SOH) and Remaining Useful Life (RUL) is critical for the safety and reliability of electric vehicles, portable electronics, and grid-scale energy storage systems. This paper presents a rigorous comparative study of six machine learning models for lithium-ion battery degradation prediction, namely Basic Symbolic Regression (SR-1), Extended Physics-Aware Symbolic Regression (SR-2), Sparse Dynamics SINDy with polynomial degree 2 (SINDy-1), High-Dimensional Dynamics SINDy with polynomial degree 3 (SINDy-2), Long Short-Term Memory (LSTM) neural network, and Random Forest baselines. Models are evaluated on the NASA Prognostics Battery Dataset and the CALCE Battery Dataset using four performance metrics: RMSE, MAE, R², and MAPE. Single-seed results show SINDy-1 achieves outstanding predictive accuracy among interpretable models (RMSE = 0.0077, R² = 0.9951), while LSTM achieves the highest overall accuracy among standard black-box architectures (RMSE = 0.0126, R² = 0.9857). Crucially, a 10-fold Monte Carlo seed sensitivity study is performed to evaluate the stability of all models. The analysis reveals that SR-1, when stabilized via physics-guided feature space reduction to a single dominant degradation indicator (capacity_fade), achieves the absolute highest and most robust predictive accuracy of all models (R² = 0.9992 ± 0.0011), completely eliminating the constant-prediction genetic collapse common in high-dimensional search spaces. Conversely, the extended-operator SR-2 exhibits severe seed sensitivity (R² = 0.5867 ± 0.0400), showing that complex mathematical search spaces require highly constrained features to avoid overfitting. Cross-dataset evaluation, parity plots, prediction error distributions, feature correlation heatmap analysis, and robustness diagnostics are presented to guide practical battery management system (BMS) model selection.</w:t>
      </w:r>
    </w:p>
    <w:p>
      <w:pPr>
        <w:ind w:left="576" w:right="576"/>
      </w:pPr>
      <w:r>
        <w:rPr>
          <w:b/>
        </w:rPr>
        <w:t xml:space="preserve">Keywords: </w:t>
      </w:r>
      <w:r>
        <w:t>Lithium-Ion Battery; State of Health; Degradation Prediction; Remaining Useful Life; Robustness Study</w:t>
      </w:r>
    </w:p>
    <w:p>
      <w:pPr>
        <w:keepNext/>
        <w:spacing w:before="360" w:after="120"/>
      </w:pPr>
      <w:r>
        <w:rPr>
          <w:rFonts w:ascii="Calibri" w:hAnsi="Calibri"/>
          <w:b/>
          <w:color w:val="1B4965"/>
          <w:sz w:val="30"/>
        </w:rPr>
        <w:t>1. Introduction</w:t>
      </w:r>
    </w:p>
    <w:p>
      <w:pPr>
        <w:jc w:val="both"/>
      </w:pPr>
      <w:r>
        <w:rPr>
          <w:rFonts w:ascii="Calibri" w:hAnsi="Calibri"/>
        </w:rPr>
        <w:t>Lithium-ion (Li-ion) batteries have become the backbone of modern energy storage, powering electric vehicles (EVs), consumer electronics, and large-scale grid infrastructure. However, Li-ion batteries degrade irreversibly over time due to complex, coupled electrochemical processes occurring at electrode-electrolyte interfaces, within bulk electrode materials, and across the entire cell architecture. The primary degradation mechanisms include (Severson et al., 2019): (i) solid electrolyte interphase (SEI) growth on the anode surface; (ii) lithium plating during high-rate charging; (iii) active material loss and structural disorder in cathode materials; and (iv) electrolyte decomposition. These physical and chemical phenomena manifest externally as a monotonic decline in discharge capacity and a corresponding rise in internal impedance.</w:t>
      </w:r>
    </w:p>
    <w:p>
      <w:pPr>
        <w:jc w:val="both"/>
      </w:pPr>
      <w:r>
        <w:rPr>
          <w:rFonts w:ascii="Calibri" w:hAnsi="Calibri"/>
        </w:rPr>
        <w:t>Accurately predicting battery State of Health (SOH) and Remaining Useful Life (RUL) is of paramount importance for proactive maintenance, prevention of unexpected catastrophic failures, optimal second-life utilization, and improved fleet cost management. The battery degradation modelling literature encompasses three major paradigms: physics-based models (highly interpretable but computationally expensive and complex) (Cranmer, 2023; De Silva et al., 2020; Severson et al., 2019), data-driven models (highly accurate but mathematically opaque) (Brunton et al., 2016; Lui et al., 2021; Nuhic et al., 2013; Ren et al., 2018; Zhou et al., 2016), and hybrid physics-informed models combining both paradigms (Li et al., 2021; Thelen et al., 2022). Recently, Gu et al. (2026) developed P-PINNSPM, a parameterized physics-informed neural network trained over the aging-related parameter space of the Single Particle Model to track battery health.</w:t>
      </w:r>
    </w:p>
    <w:p>
      <w:pPr>
        <w:jc w:val="both"/>
      </w:pPr>
      <w:r>
        <w:rPr>
          <w:rFonts w:ascii="Calibri" w:hAnsi="Calibri"/>
        </w:rPr>
        <w:t>This work conducts the first systematic six-model comparison spanning interpretable machine learning and conventional data-driven baselines on both the NASA (Saha and Goebel, 2007) and CALCE (Pecht, 2012) datasets. The central motivation of this study is to directly quantify the accuracy-interpretability trade-off in battery health prediction. We extend the interpretable machine learning comparison to include LSTM and Random Forest as representative black-box and ensemble baselines, allowing a direct comparison of the exact accuracy premium paid for model interpretability. We present the application of SINDy-based sparse dynamical identification (Degree 2 and 3) to discover governing differential equations of capacity fade (De Silva et al., 2020). Furthermore, Symbolic Regression variants (Cranmer, 2023) are used to evolve compact, physically meaningful algebraic formulas. Crucially, we analyze the seed robustness and reproducibility of these algorithms through a 10-fold Monte Carlo study, exposing critical search-space collapse vulnerabilities in stochastic regressors and validating a feature space bottleneck strategy to resolve them once and for all.</w:t>
      </w:r>
    </w:p>
    <w:p>
      <w:pPr>
        <w:keepNext/>
        <w:spacing w:before="360" w:after="120"/>
      </w:pPr>
      <w:r>
        <w:rPr>
          <w:rFonts w:ascii="Calibri" w:hAnsi="Calibri"/>
          <w:b/>
          <w:color w:val="1B4965"/>
          <w:sz w:val="30"/>
        </w:rPr>
        <w:t>2. Dataset Description</w:t>
      </w:r>
    </w:p>
    <w:p>
      <w:pPr>
        <w:keepNext/>
        <w:spacing w:before="240" w:after="80"/>
      </w:pPr>
      <w:r>
        <w:rPr>
          <w:rFonts w:ascii="Calibri" w:hAnsi="Calibri"/>
          <w:b/>
          <w:color w:val="1B4965"/>
          <w:sz w:val="25"/>
        </w:rPr>
        <w:t>2.1 NASA Prognostics Battery Dataset</w:t>
      </w:r>
    </w:p>
    <w:p>
      <w:pPr>
        <w:jc w:val="both"/>
      </w:pPr>
      <w:r>
        <w:rPr>
          <w:rFonts w:ascii="Calibri" w:hAnsi="Calibri"/>
        </w:rPr>
        <w:t>The NASA Prognostics Battery Dataset comprises cycling data for 18650 cylindrical Li-ion cells B0005, B0006, B0007, and B0018, cycled under a constant-current constant-voltage (CC-CV) protocol at room temperature (~24°C). The cells were charged at a constant current of 1.5A until voltage reached 4.2V, then held at 4.2V until current dropped to 20mA. Discharge was performed at a constant current of 2.0A until voltage dropped to 2.7V, 2.5V, 2.2V, and 2.5V for cells B0005, B0006, B0007, and B0018, respectively. The end-of-life (EOL) criterion is defined as SOH &lt; 0.70 (representing a 30% capacity loss from the rated 2.0 Ah nominal capacity).</w:t>
      </w:r>
    </w:p>
    <w:p>
      <w:pPr>
        <w:keepNext/>
        <w:spacing w:before="240" w:after="80"/>
      </w:pPr>
      <w:r>
        <w:rPr>
          <w:rFonts w:ascii="Calibri" w:hAnsi="Calibri"/>
          <w:b/>
          <w:color w:val="1B4965"/>
          <w:sz w:val="25"/>
        </w:rPr>
        <w:t>2.2 CALCE Battery Dataset</w:t>
      </w:r>
    </w:p>
    <w:p>
      <w:pPr>
        <w:jc w:val="both"/>
      </w:pPr>
      <w:r>
        <w:rPr>
          <w:rFonts w:ascii="Calibri" w:hAnsi="Calibri"/>
        </w:rPr>
        <w:t>The CALCE CS2 series prismatic LiCoO₂ cells (specifically cells CS2_8 and CS2_21, rated at 1.1 Ah nominal capacity) were cycled under a room temperature (~25°C) CC-CV charging protocol. Cells were charged at a constant current of 0.5C (0.55A) until the voltage reached 4.2V, followed by a constant voltage charge until current dropped below 0.05A. Constant current discharge was performed at 1.0C (1.1A) until the voltage cut-off of 2.7V was reached. Table 1 summarizes the properties and usage of both datasets in this study.</w:t>
      </w:r>
    </w:p>
    <w:p>
      <w:pPr>
        <w:jc w:val="both"/>
      </w:pPr>
      <w:r>
        <w:rPr>
          <w:rFonts w:ascii="Calibri" w:hAnsi="Calibri"/>
        </w:rPr>
        <w:t>Table 1. Summary of NASA and CALCE dataset properties used in this comparative study.</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shd w:fill="1B4965"/>
            <w:tcMar>
              <w:top w:w="100" w:type="dxa"/>
              <w:bottom w:w="100" w:type="dxa"/>
              <w:left w:w="150" w:type="dxa"/>
              <w:right w:w="150" w:type="dxa"/>
            </w:tcMar>
          </w:tcPr>
          <w:p>
            <w:r>
              <w:rPr>
                <w:rFonts w:ascii="Calibri" w:hAnsi="Calibri"/>
                <w:b/>
                <w:color w:val="FFFFFF"/>
              </w:rPr>
              <w:t>Property</w:t>
            </w:r>
          </w:p>
        </w:tc>
        <w:tc>
          <w:tcPr>
            <w:tcW w:type="dxa" w:w="2340"/>
            <w:shd w:fill="1B4965"/>
            <w:tcMar>
              <w:top w:w="100" w:type="dxa"/>
              <w:bottom w:w="100" w:type="dxa"/>
              <w:left w:w="150" w:type="dxa"/>
              <w:right w:w="150" w:type="dxa"/>
            </w:tcMar>
          </w:tcPr>
          <w:p>
            <w:r>
              <w:rPr>
                <w:rFonts w:ascii="Calibri" w:hAnsi="Calibri"/>
                <w:b/>
                <w:color w:val="FFFFFF"/>
              </w:rPr>
              <w:t>NASA Battery Dataset</w:t>
            </w:r>
          </w:p>
        </w:tc>
        <w:tc>
          <w:tcPr>
            <w:tcW w:type="dxa" w:w="2340"/>
            <w:shd w:fill="1B4965"/>
            <w:tcMar>
              <w:top w:w="100" w:type="dxa"/>
              <w:bottom w:w="100" w:type="dxa"/>
              <w:left w:w="150" w:type="dxa"/>
              <w:right w:w="150" w:type="dxa"/>
            </w:tcMar>
          </w:tcPr>
          <w:p>
            <w:r>
              <w:rPr>
                <w:rFonts w:ascii="Calibri" w:hAnsi="Calibri"/>
                <w:b/>
                <w:color w:val="FFFFFF"/>
              </w:rPr>
              <w:t>CALCE CS2 Dataset</w:t>
            </w:r>
          </w:p>
        </w:tc>
        <w:tc>
          <w:tcPr>
            <w:tcW w:type="dxa" w:w="2340"/>
            <w:shd w:fill="1B4965"/>
            <w:tcMar>
              <w:top w:w="100" w:type="dxa"/>
              <w:bottom w:w="100" w:type="dxa"/>
              <w:left w:w="150" w:type="dxa"/>
              <w:right w:w="150" w:type="dxa"/>
            </w:tcMar>
          </w:tcPr>
          <w:p>
            <w:r>
              <w:rPr>
                <w:rFonts w:ascii="Calibri" w:hAnsi="Calibri"/>
                <w:b/>
                <w:color w:val="FFFFFF"/>
              </w:rPr>
              <w:t>Usage in Study</w:t>
            </w:r>
          </w:p>
        </w:tc>
      </w:tr>
      <w:tr>
        <w:tc>
          <w:tcPr>
            <w:tcW w:type="dxa" w:w="2340"/>
            <w:shd w:fill="FFFFFF"/>
            <w:tcMar>
              <w:top w:w="100" w:type="dxa"/>
              <w:bottom w:w="100" w:type="dxa"/>
              <w:left w:w="150" w:type="dxa"/>
              <w:right w:w="150" w:type="dxa"/>
            </w:tcMar>
          </w:tcPr>
          <w:p>
            <w:r>
              <w:rPr>
                <w:rFonts w:ascii="Calibri" w:hAnsi="Calibri"/>
              </w:rPr>
              <w:t>Cell Type</w:t>
            </w:r>
          </w:p>
        </w:tc>
        <w:tc>
          <w:tcPr>
            <w:tcW w:type="dxa" w:w="2340"/>
            <w:shd w:fill="FFFFFF"/>
            <w:tcMar>
              <w:top w:w="100" w:type="dxa"/>
              <w:bottom w:w="100" w:type="dxa"/>
              <w:left w:w="150" w:type="dxa"/>
              <w:right w:w="150" w:type="dxa"/>
            </w:tcMar>
          </w:tcPr>
          <w:p>
            <w:r>
              <w:rPr>
                <w:rFonts w:ascii="Calibri" w:hAnsi="Calibri"/>
              </w:rPr>
              <w:t>18650 cylindrical Li-ion</w:t>
            </w:r>
          </w:p>
        </w:tc>
        <w:tc>
          <w:tcPr>
            <w:tcW w:type="dxa" w:w="2340"/>
            <w:shd w:fill="FFFFFF"/>
            <w:tcMar>
              <w:top w:w="100" w:type="dxa"/>
              <w:bottom w:w="100" w:type="dxa"/>
              <w:left w:w="150" w:type="dxa"/>
              <w:right w:w="150" w:type="dxa"/>
            </w:tcMar>
          </w:tcPr>
          <w:p>
            <w:r>
              <w:rPr>
                <w:rFonts w:ascii="Calibri" w:hAnsi="Calibri"/>
              </w:rPr>
              <w:t>Prismatic LiCoO2</w:t>
            </w:r>
          </w:p>
        </w:tc>
        <w:tc>
          <w:tcPr>
            <w:tcW w:type="dxa" w:w="2340"/>
            <w:shd w:fill="FFFFFF"/>
            <w:tcMar>
              <w:top w:w="100" w:type="dxa"/>
              <w:bottom w:w="100" w:type="dxa"/>
              <w:left w:w="150" w:type="dxa"/>
              <w:right w:w="150" w:type="dxa"/>
            </w:tcMar>
          </w:tcPr>
          <w:p>
            <w:r>
              <w:rPr>
                <w:rFonts w:ascii="Calibri" w:hAnsi="Calibri"/>
              </w:rPr>
              <w:t>Cross-chemistry evaluation</w:t>
            </w:r>
          </w:p>
        </w:tc>
      </w:tr>
      <w:tr>
        <w:tc>
          <w:tcPr>
            <w:tcW w:type="dxa" w:w="2340"/>
            <w:shd w:fill="F2F4F7"/>
            <w:tcMar>
              <w:top w:w="100" w:type="dxa"/>
              <w:bottom w:w="100" w:type="dxa"/>
              <w:left w:w="150" w:type="dxa"/>
              <w:right w:w="150" w:type="dxa"/>
            </w:tcMar>
          </w:tcPr>
          <w:p>
            <w:r>
              <w:rPr>
                <w:rFonts w:ascii="Calibri" w:hAnsi="Calibri"/>
              </w:rPr>
              <w:t>Cells Used</w:t>
            </w:r>
          </w:p>
        </w:tc>
        <w:tc>
          <w:tcPr>
            <w:tcW w:type="dxa" w:w="2340"/>
            <w:shd w:fill="F2F4F7"/>
            <w:tcMar>
              <w:top w:w="100" w:type="dxa"/>
              <w:bottom w:w="100" w:type="dxa"/>
              <w:left w:w="150" w:type="dxa"/>
              <w:right w:w="150" w:type="dxa"/>
            </w:tcMar>
          </w:tcPr>
          <w:p>
            <w:r>
              <w:rPr>
                <w:rFonts w:ascii="Calibri" w:hAnsi="Calibri"/>
              </w:rPr>
              <w:t>B0005, B0006, B0007, B0018</w:t>
            </w:r>
          </w:p>
        </w:tc>
        <w:tc>
          <w:tcPr>
            <w:tcW w:type="dxa" w:w="2340"/>
            <w:shd w:fill="F2F4F7"/>
            <w:tcMar>
              <w:top w:w="100" w:type="dxa"/>
              <w:bottom w:w="100" w:type="dxa"/>
              <w:left w:w="150" w:type="dxa"/>
              <w:right w:w="150" w:type="dxa"/>
            </w:tcMar>
          </w:tcPr>
          <w:p>
            <w:r>
              <w:rPr>
                <w:rFonts w:ascii="Calibri" w:hAnsi="Calibri"/>
              </w:rPr>
              <w:t>CS2_8, CS2_21</w:t>
            </w:r>
          </w:p>
        </w:tc>
        <w:tc>
          <w:tcPr>
            <w:tcW w:type="dxa" w:w="2340"/>
            <w:shd w:fill="F2F4F7"/>
            <w:tcMar>
              <w:top w:w="100" w:type="dxa"/>
              <w:bottom w:w="100" w:type="dxa"/>
              <w:left w:w="150" w:type="dxa"/>
              <w:right w:w="150" w:type="dxa"/>
            </w:tcMar>
          </w:tcPr>
          <w:p>
            <w:r>
              <w:rPr>
                <w:rFonts w:ascii="Calibri" w:hAnsi="Calibri"/>
              </w:rPr>
              <w:t>Independent model training &amp; validation</w:t>
            </w:r>
          </w:p>
        </w:tc>
      </w:tr>
      <w:tr>
        <w:tc>
          <w:tcPr>
            <w:tcW w:type="dxa" w:w="2340"/>
            <w:shd w:fill="FFFFFF"/>
            <w:tcMar>
              <w:top w:w="100" w:type="dxa"/>
              <w:bottom w:w="100" w:type="dxa"/>
              <w:left w:w="150" w:type="dxa"/>
              <w:right w:w="150" w:type="dxa"/>
            </w:tcMar>
          </w:tcPr>
          <w:p>
            <w:r>
              <w:rPr>
                <w:rFonts w:ascii="Calibri" w:hAnsi="Calibri"/>
              </w:rPr>
              <w:t>Rated Capacity</w:t>
            </w:r>
          </w:p>
        </w:tc>
        <w:tc>
          <w:tcPr>
            <w:tcW w:type="dxa" w:w="2340"/>
            <w:shd w:fill="FFFFFF"/>
            <w:tcMar>
              <w:top w:w="100" w:type="dxa"/>
              <w:bottom w:w="100" w:type="dxa"/>
              <w:left w:w="150" w:type="dxa"/>
              <w:right w:w="150" w:type="dxa"/>
            </w:tcMar>
          </w:tcPr>
          <w:p>
            <w:r>
              <w:rPr>
                <w:rFonts w:ascii="Calibri" w:hAnsi="Calibri"/>
              </w:rPr>
              <w:t>2.0 Ah</w:t>
            </w:r>
          </w:p>
        </w:tc>
        <w:tc>
          <w:tcPr>
            <w:tcW w:type="dxa" w:w="2340"/>
            <w:shd w:fill="FFFFFF"/>
            <w:tcMar>
              <w:top w:w="100" w:type="dxa"/>
              <w:bottom w:w="100" w:type="dxa"/>
              <w:left w:w="150" w:type="dxa"/>
              <w:right w:w="150" w:type="dxa"/>
            </w:tcMar>
          </w:tcPr>
          <w:p>
            <w:r>
              <w:rPr>
                <w:rFonts w:ascii="Calibri" w:hAnsi="Calibri"/>
              </w:rPr>
              <w:t>1.1 Ah</w:t>
            </w:r>
          </w:p>
        </w:tc>
        <w:tc>
          <w:tcPr>
            <w:tcW w:type="dxa" w:w="2340"/>
            <w:shd w:fill="FFFFFF"/>
            <w:tcMar>
              <w:top w:w="100" w:type="dxa"/>
              <w:bottom w:w="100" w:type="dxa"/>
              <w:left w:w="150" w:type="dxa"/>
              <w:right w:w="150" w:type="dxa"/>
            </w:tcMar>
          </w:tcPr>
          <w:p>
            <w:r>
              <w:rPr>
                <w:rFonts w:ascii="Calibri" w:hAnsi="Calibri"/>
              </w:rPr>
              <w:t>SOH normalization baseline</w:t>
            </w:r>
          </w:p>
        </w:tc>
      </w:tr>
      <w:tr>
        <w:tc>
          <w:tcPr>
            <w:tcW w:type="dxa" w:w="2340"/>
            <w:shd w:fill="F2F4F7"/>
            <w:tcMar>
              <w:top w:w="100" w:type="dxa"/>
              <w:bottom w:w="100" w:type="dxa"/>
              <w:left w:w="150" w:type="dxa"/>
              <w:right w:w="150" w:type="dxa"/>
            </w:tcMar>
          </w:tcPr>
          <w:p>
            <w:r>
              <w:rPr>
                <w:rFonts w:ascii="Calibri" w:hAnsi="Calibri"/>
              </w:rPr>
              <w:t>End-of-Life Threshold</w:t>
            </w:r>
          </w:p>
        </w:tc>
        <w:tc>
          <w:tcPr>
            <w:tcW w:type="dxa" w:w="2340"/>
            <w:shd w:fill="F2F4F7"/>
            <w:tcMar>
              <w:top w:w="100" w:type="dxa"/>
              <w:bottom w:w="100" w:type="dxa"/>
              <w:left w:w="150" w:type="dxa"/>
              <w:right w:w="150" w:type="dxa"/>
            </w:tcMar>
          </w:tcPr>
          <w:p>
            <w:r>
              <w:rPr>
                <w:rFonts w:ascii="Calibri" w:hAnsi="Calibri"/>
              </w:rPr>
              <w:t>70% SOH (1.4 Ah)</w:t>
            </w:r>
          </w:p>
        </w:tc>
        <w:tc>
          <w:tcPr>
            <w:tcW w:type="dxa" w:w="2340"/>
            <w:shd w:fill="F2F4F7"/>
            <w:tcMar>
              <w:top w:w="100" w:type="dxa"/>
              <w:bottom w:w="100" w:type="dxa"/>
              <w:left w:w="150" w:type="dxa"/>
              <w:right w:w="150" w:type="dxa"/>
            </w:tcMar>
          </w:tcPr>
          <w:p>
            <w:r>
              <w:rPr>
                <w:rFonts w:ascii="Calibri" w:hAnsi="Calibri"/>
              </w:rPr>
              <w:t>70% SOH (0.77 Ah)</w:t>
            </w:r>
          </w:p>
        </w:tc>
        <w:tc>
          <w:tcPr>
            <w:tcW w:type="dxa" w:w="2340"/>
            <w:shd w:fill="F2F4F7"/>
            <w:tcMar>
              <w:top w:w="100" w:type="dxa"/>
              <w:bottom w:w="100" w:type="dxa"/>
              <w:left w:w="150" w:type="dxa"/>
              <w:right w:w="150" w:type="dxa"/>
            </w:tcMar>
          </w:tcPr>
          <w:p>
            <w:r>
              <w:rPr>
                <w:rFonts w:ascii="Calibri" w:hAnsi="Calibri"/>
              </w:rPr>
              <w:t>RUL estimation boundary</w:t>
            </w:r>
          </w:p>
        </w:tc>
      </w:tr>
      <w:tr>
        <w:tc>
          <w:tcPr>
            <w:tcW w:type="dxa" w:w="2340"/>
            <w:shd w:fill="FFFFFF"/>
            <w:tcMar>
              <w:top w:w="100" w:type="dxa"/>
              <w:bottom w:w="100" w:type="dxa"/>
              <w:left w:w="150" w:type="dxa"/>
              <w:right w:w="150" w:type="dxa"/>
            </w:tcMar>
          </w:tcPr>
          <w:p>
            <w:r>
              <w:rPr>
                <w:rFonts w:ascii="Calibri" w:hAnsi="Calibri"/>
              </w:rPr>
              <w:t>Temperature</w:t>
            </w:r>
          </w:p>
        </w:tc>
        <w:tc>
          <w:tcPr>
            <w:tcW w:type="dxa" w:w="2340"/>
            <w:shd w:fill="FFFFFF"/>
            <w:tcMar>
              <w:top w:w="100" w:type="dxa"/>
              <w:bottom w:w="100" w:type="dxa"/>
              <w:left w:w="150" w:type="dxa"/>
              <w:right w:w="150" w:type="dxa"/>
            </w:tcMar>
          </w:tcPr>
          <w:p>
            <w:r>
              <w:rPr>
                <w:rFonts w:ascii="Calibri" w:hAnsi="Calibri"/>
              </w:rPr>
              <w:t>Room temp (~24 C)</w:t>
            </w:r>
          </w:p>
        </w:tc>
        <w:tc>
          <w:tcPr>
            <w:tcW w:type="dxa" w:w="2340"/>
            <w:shd w:fill="FFFFFF"/>
            <w:tcMar>
              <w:top w:w="100" w:type="dxa"/>
              <w:bottom w:w="100" w:type="dxa"/>
              <w:left w:w="150" w:type="dxa"/>
              <w:right w:w="150" w:type="dxa"/>
            </w:tcMar>
          </w:tcPr>
          <w:p>
            <w:r>
              <w:rPr>
                <w:rFonts w:ascii="Calibri" w:hAnsi="Calibri"/>
              </w:rPr>
              <w:t>Room temp (~25 C)</w:t>
            </w:r>
          </w:p>
        </w:tc>
        <w:tc>
          <w:tcPr>
            <w:tcW w:type="dxa" w:w="2340"/>
            <w:shd w:fill="FFFFFF"/>
            <w:tcMar>
              <w:top w:w="100" w:type="dxa"/>
              <w:bottom w:w="100" w:type="dxa"/>
              <w:left w:w="150" w:type="dxa"/>
              <w:right w:w="150" w:type="dxa"/>
            </w:tcMar>
          </w:tcPr>
          <w:p>
            <w:r>
              <w:rPr>
                <w:rFonts w:ascii="Calibri" w:hAnsi="Calibri"/>
              </w:rPr>
              <w:t>Controlled ambient benchmarks</w:t>
            </w:r>
          </w:p>
        </w:tc>
      </w:tr>
      <w:tr>
        <w:tc>
          <w:tcPr>
            <w:tcW w:type="dxa" w:w="2340"/>
            <w:shd w:fill="F2F4F7"/>
            <w:tcMar>
              <w:top w:w="100" w:type="dxa"/>
              <w:bottom w:w="100" w:type="dxa"/>
              <w:left w:w="150" w:type="dxa"/>
              <w:right w:w="150" w:type="dxa"/>
            </w:tcMar>
          </w:tcPr>
          <w:p>
            <w:r>
              <w:rPr>
                <w:rFonts w:ascii="Calibri" w:hAnsi="Calibri"/>
              </w:rPr>
              <w:t>Cycle Count</w:t>
            </w:r>
          </w:p>
        </w:tc>
        <w:tc>
          <w:tcPr>
            <w:tcW w:type="dxa" w:w="2340"/>
            <w:shd w:fill="F2F4F7"/>
            <w:tcMar>
              <w:top w:w="100" w:type="dxa"/>
              <w:bottom w:w="100" w:type="dxa"/>
              <w:left w:w="150" w:type="dxa"/>
              <w:right w:w="150" w:type="dxa"/>
            </w:tcMar>
          </w:tcPr>
          <w:p>
            <w:r>
              <w:rPr>
                <w:rFonts w:ascii="Calibri" w:hAnsi="Calibri"/>
              </w:rPr>
              <w:t>~168 cycles/cell (B0005-B0018)</w:t>
            </w:r>
          </w:p>
        </w:tc>
        <w:tc>
          <w:tcPr>
            <w:tcW w:type="dxa" w:w="2340"/>
            <w:shd w:fill="F2F4F7"/>
            <w:tcMar>
              <w:top w:w="100" w:type="dxa"/>
              <w:bottom w:w="100" w:type="dxa"/>
              <w:left w:w="150" w:type="dxa"/>
              <w:right w:w="150" w:type="dxa"/>
            </w:tcMar>
          </w:tcPr>
          <w:p>
            <w:r>
              <w:rPr>
                <w:rFonts w:ascii="Calibri" w:hAnsi="Calibri"/>
              </w:rPr>
              <w:t>~600-1000 cycles/cell</w:t>
            </w:r>
          </w:p>
        </w:tc>
        <w:tc>
          <w:tcPr>
            <w:tcW w:type="dxa" w:w="2340"/>
            <w:shd w:fill="F2F4F7"/>
            <w:tcMar>
              <w:top w:w="100" w:type="dxa"/>
              <w:bottom w:w="100" w:type="dxa"/>
              <w:left w:w="150" w:type="dxa"/>
              <w:right w:w="150" w:type="dxa"/>
            </w:tcMar>
          </w:tcPr>
          <w:p>
            <w:r>
              <w:rPr>
                <w:rFonts w:ascii="Calibri" w:hAnsi="Calibri"/>
              </w:rPr>
              <w:t>Degradation trajectory modeling</w:t>
            </w:r>
          </w:p>
        </w:tc>
      </w:tr>
      <w:tr>
        <w:tc>
          <w:tcPr>
            <w:tcW w:type="dxa" w:w="2340"/>
            <w:shd w:fill="FFFFFF"/>
            <w:tcMar>
              <w:top w:w="100" w:type="dxa"/>
              <w:bottom w:w="100" w:type="dxa"/>
              <w:left w:w="150" w:type="dxa"/>
              <w:right w:w="150" w:type="dxa"/>
            </w:tcMar>
          </w:tcPr>
          <w:p>
            <w:r>
              <w:rPr>
                <w:rFonts w:ascii="Calibri" w:hAnsi="Calibri"/>
              </w:rPr>
              <w:t>Key Features</w:t>
            </w:r>
          </w:p>
        </w:tc>
        <w:tc>
          <w:tcPr>
            <w:tcW w:type="dxa" w:w="2340"/>
            <w:shd w:fill="FFFFFF"/>
            <w:tcMar>
              <w:top w:w="100" w:type="dxa"/>
              <w:bottom w:w="100" w:type="dxa"/>
              <w:left w:w="150" w:type="dxa"/>
              <w:right w:w="150" w:type="dxa"/>
            </w:tcMar>
          </w:tcPr>
          <w:p>
            <w:r>
              <w:rPr>
                <w:rFonts w:ascii="Calibri" w:hAnsi="Calibri"/>
              </w:rPr>
              <w:t>Voltage, current, temp, capacity</w:t>
            </w:r>
          </w:p>
        </w:tc>
        <w:tc>
          <w:tcPr>
            <w:tcW w:type="dxa" w:w="2340"/>
            <w:shd w:fill="FFFFFF"/>
            <w:tcMar>
              <w:top w:w="100" w:type="dxa"/>
              <w:bottom w:w="100" w:type="dxa"/>
              <w:left w:w="150" w:type="dxa"/>
              <w:right w:w="150" w:type="dxa"/>
            </w:tcMar>
          </w:tcPr>
          <w:p>
            <w:r>
              <w:rPr>
                <w:rFonts w:ascii="Calibri" w:hAnsi="Calibri"/>
              </w:rPr>
              <w:t>Voltage, current, temp, capacity, impedance</w:t>
            </w:r>
          </w:p>
        </w:tc>
        <w:tc>
          <w:tcPr>
            <w:tcW w:type="dxa" w:w="2340"/>
            <w:shd w:fill="FFFFFF"/>
            <w:tcMar>
              <w:top w:w="100" w:type="dxa"/>
              <w:bottom w:w="100" w:type="dxa"/>
              <w:left w:w="150" w:type="dxa"/>
              <w:right w:w="150" w:type="dxa"/>
            </w:tcMar>
          </w:tcPr>
          <w:p>
            <w:r>
              <w:rPr>
                <w:rFonts w:ascii="Calibri" w:hAnsi="Calibri"/>
              </w:rPr>
              <w:t>Feature engineering input</w:t>
            </w:r>
          </w:p>
        </w:tc>
      </w:tr>
      <w:tr>
        <w:tc>
          <w:tcPr>
            <w:tcW w:type="dxa" w:w="2340"/>
            <w:shd w:fill="F2F4F7"/>
            <w:tcMar>
              <w:top w:w="100" w:type="dxa"/>
              <w:bottom w:w="100" w:type="dxa"/>
              <w:left w:w="150" w:type="dxa"/>
              <w:right w:w="150" w:type="dxa"/>
            </w:tcMar>
          </w:tcPr>
          <w:p>
            <w:r>
              <w:rPr>
                <w:rFonts w:ascii="Calibri" w:hAnsi="Calibri"/>
              </w:rPr>
              <w:t>Availability</w:t>
            </w:r>
          </w:p>
        </w:tc>
        <w:tc>
          <w:tcPr>
            <w:tcW w:type="dxa" w:w="2340"/>
            <w:shd w:fill="F2F4F7"/>
            <w:tcMar>
              <w:top w:w="100" w:type="dxa"/>
              <w:bottom w:w="100" w:type="dxa"/>
              <w:left w:w="150" w:type="dxa"/>
              <w:right w:w="150" w:type="dxa"/>
            </w:tcMar>
          </w:tcPr>
          <w:p>
            <w:r>
              <w:rPr>
                <w:rFonts w:ascii="Calibri" w:hAnsi="Calibri"/>
              </w:rPr>
              <w:t>NASA AMES data repository</w:t>
            </w:r>
          </w:p>
        </w:tc>
        <w:tc>
          <w:tcPr>
            <w:tcW w:type="dxa" w:w="2340"/>
            <w:shd w:fill="F2F4F7"/>
            <w:tcMar>
              <w:top w:w="100" w:type="dxa"/>
              <w:bottom w:w="100" w:type="dxa"/>
              <w:left w:w="150" w:type="dxa"/>
              <w:right w:w="150" w:type="dxa"/>
            </w:tcMar>
          </w:tcPr>
          <w:p>
            <w:r>
              <w:rPr>
                <w:rFonts w:ascii="Calibri" w:hAnsi="Calibri"/>
              </w:rPr>
              <w:t>CALCE UMD website</w:t>
            </w:r>
          </w:p>
        </w:tc>
        <w:tc>
          <w:tcPr>
            <w:tcW w:type="dxa" w:w="2340"/>
            <w:shd w:fill="F2F4F7"/>
            <w:tcMar>
              <w:top w:w="100" w:type="dxa"/>
              <w:bottom w:w="100" w:type="dxa"/>
              <w:left w:w="150" w:type="dxa"/>
              <w:right w:w="150" w:type="dxa"/>
            </w:tcMar>
          </w:tcPr>
          <w:p>
            <w:r>
              <w:rPr>
                <w:rFonts w:ascii="Calibri" w:hAnsi="Calibri"/>
              </w:rPr>
              <w:t>Open-source validation benchmark</w:t>
            </w:r>
          </w:p>
        </w:tc>
      </w:tr>
    </w:tbl>
    <w:p>
      <w:pPr>
        <w:keepNext/>
        <w:spacing w:before="240" w:after="80"/>
      </w:pPr>
      <w:r>
        <w:rPr>
          <w:rFonts w:ascii="Calibri" w:hAnsi="Calibri"/>
          <w:b/>
          <w:color w:val="1B4965"/>
          <w:sz w:val="25"/>
        </w:rPr>
        <w:t>2.3 Feature Correlation Analysis</w:t>
      </w:r>
    </w:p>
    <w:p>
      <w:pPr>
        <w:jc w:val="both"/>
      </w:pPr>
      <w:r>
        <w:rPr>
          <w:rFonts w:ascii="Calibri" w:hAnsi="Calibri"/>
        </w:rPr>
        <w:t>Prior to model training, a feature correlation analysis was conducted to identify redundancies and informative relationships among the extracted cycle features. Figure 1 shows the Pearson correlation heatmap across all 12 features including SOH and RUL. The heatmap shows that SOH exhibits strong negative correlation with cycle_number (-0.87) and capacity_fade (-1.00), confirming these as primary degradation indicators. Voltage_mean is highly positively correlated with SOH (0.63) while temp_max and temp_rise are strongly correlated with each other (0.98) and with current_mean (0.94), indicating potential multicollinearity. Discharge_duration shows moderate positive correlation with SOH (0.34). Re (internal resistance) has a moderate positive correlation with SOH (0.28), consistent with expected impedance growth. These findings guided feature selection and informed the symbolic library construction for SR and SINDy models.</w:t>
      </w:r>
    </w:p>
    <w:p>
      <w:pPr>
        <w:spacing w:before="80" w:after="240"/>
        <w:jc w:val="center"/>
      </w:pPr>
      <w:r>
        <w:rPr>
          <w:rFonts w:ascii="Calibri" w:hAnsi="Calibri"/>
          <w:i/>
          <w:color w:val="666666"/>
          <w:sz w:val="19"/>
        </w:rPr>
        <w:t>Figure 1. Feature Correlation Heatmap across 12 engineered cycle features including SOH and RUL. Strong correlations between capacity_fade, cycle_number, and SOH confirm primary degradation drivers.</w:t>
      </w:r>
    </w:p>
    <w:p>
      <w:pPr>
        <w:keepNext/>
        <w:spacing w:before="360" w:after="120"/>
      </w:pPr>
      <w:r>
        <w:rPr>
          <w:rFonts w:ascii="Calibri" w:hAnsi="Calibri"/>
          <w:b/>
          <w:color w:val="1B4965"/>
          <w:sz w:val="30"/>
        </w:rPr>
        <w:t>3. Methodology</w:t>
      </w:r>
    </w:p>
    <w:p>
      <w:pPr>
        <w:keepNext/>
        <w:spacing w:before="240" w:after="80"/>
      </w:pPr>
      <w:r>
        <w:rPr>
          <w:rFonts w:ascii="Calibri" w:hAnsi="Calibri"/>
          <w:b/>
          <w:color w:val="1B4965"/>
          <w:sz w:val="25"/>
        </w:rPr>
        <w:t>3.1 Data Preprocessing and Feature Engineering</w:t>
      </w:r>
    </w:p>
    <w:p>
      <w:pPr>
        <w:jc w:val="both"/>
      </w:pPr>
      <w:r>
        <w:rPr>
          <w:rFonts w:ascii="Calibri" w:hAnsi="Calibri"/>
        </w:rPr>
        <w:t>Raw cycling data undergoes a multi-stage preprocessing pipeline. Incomplete cycles are removed. Sensor anomalies (&gt;3σ deviation from rolling medians) are corrected via linear interpolation. The following scalar features are extracted per cycle:</w:t>
      </w:r>
    </w:p>
    <w:p>
      <w:pPr>
        <w:pStyle w:val="ListBullet"/>
        <w:spacing w:after="80"/>
      </w:pPr>
      <w:r>
        <w:rPr>
          <w:rFonts w:ascii="Calibri" w:hAnsi="Calibri"/>
          <w:b/>
        </w:rPr>
        <w:t xml:space="preserve">• </w:t>
      </w:r>
      <w:r>
        <w:rPr>
          <w:rFonts w:ascii="Calibri" w:hAnsi="Calibri"/>
        </w:rPr>
        <w:t>Discharge capacity (Ah): Primary degradation indicator and SOH computation target.</w:t>
      </w:r>
    </w:p>
    <w:p>
      <w:pPr>
        <w:pStyle w:val="ListBullet"/>
        <w:spacing w:after="80"/>
      </w:pPr>
      <w:r>
        <w:rPr>
          <w:rFonts w:ascii="Calibri" w:hAnsi="Calibri"/>
          <w:b/>
        </w:rPr>
        <w:t xml:space="preserve">• </w:t>
      </w:r>
      <w:r>
        <w:rPr>
          <w:rFonts w:ascii="Calibri" w:hAnsi="Calibri"/>
        </w:rPr>
        <w:t>Internal resistance Re (mΩ): Estimated from voltage drop at discharge onset.</w:t>
      </w:r>
    </w:p>
    <w:p>
      <w:pPr>
        <w:pStyle w:val="ListBullet"/>
        <w:spacing w:after="80"/>
      </w:pPr>
      <w:r>
        <w:rPr>
          <w:rFonts w:ascii="Calibri" w:hAnsi="Calibri"/>
          <w:b/>
        </w:rPr>
        <w:t xml:space="preserve">• </w:t>
      </w:r>
      <w:r>
        <w:rPr>
          <w:rFonts w:ascii="Calibri" w:hAnsi="Calibri"/>
        </w:rPr>
        <w:t>Charge time (seconds): Total CC-CV charge phase duration.</w:t>
      </w:r>
    </w:p>
    <w:p>
      <w:pPr>
        <w:pStyle w:val="ListBullet"/>
        <w:spacing w:after="80"/>
      </w:pPr>
      <w:r>
        <w:rPr>
          <w:rFonts w:ascii="Calibri" w:hAnsi="Calibri"/>
          <w:b/>
        </w:rPr>
        <w:t xml:space="preserve">• </w:t>
      </w:r>
      <w:r>
        <w:rPr>
          <w:rFonts w:ascii="Calibri" w:hAnsi="Calibri"/>
        </w:rPr>
        <w:t>Voltage mean / voltage drop: Mean discharge voltage and voltage drop indicator.</w:t>
      </w:r>
    </w:p>
    <w:p>
      <w:pPr>
        <w:pStyle w:val="ListBullet"/>
        <w:spacing w:after="80"/>
      </w:pPr>
      <w:r>
        <w:rPr>
          <w:rFonts w:ascii="Calibri" w:hAnsi="Calibri"/>
          <w:b/>
        </w:rPr>
        <w:t xml:space="preserve">• </w:t>
      </w:r>
      <w:r>
        <w:rPr>
          <w:rFonts w:ascii="Calibri" w:hAnsi="Calibri"/>
        </w:rPr>
        <w:t>Temperature max / temperature rise (°C): Peak temperature and thermal rise per cycle.</w:t>
      </w:r>
    </w:p>
    <w:p>
      <w:pPr>
        <w:pStyle w:val="ListBullet"/>
        <w:spacing w:after="80"/>
      </w:pPr>
      <w:r>
        <w:rPr>
          <w:rFonts w:ascii="Calibri" w:hAnsi="Calibri"/>
          <w:b/>
        </w:rPr>
        <w:t xml:space="preserve">• </w:t>
      </w:r>
      <w:r>
        <w:rPr>
          <w:rFonts w:ascii="Calibri" w:hAnsi="Calibri"/>
        </w:rPr>
        <w:t>Current mean / current std: Discharge current statistics.</w:t>
      </w:r>
    </w:p>
    <w:p>
      <w:pPr>
        <w:pStyle w:val="ListBullet"/>
        <w:spacing w:after="80"/>
      </w:pPr>
      <w:r>
        <w:rPr>
          <w:rFonts w:ascii="Calibri" w:hAnsi="Calibri"/>
          <w:b/>
        </w:rPr>
        <w:t xml:space="preserve">• </w:t>
      </w:r>
      <w:r>
        <w:rPr>
          <w:rFonts w:ascii="Calibri" w:hAnsi="Calibri"/>
        </w:rPr>
        <w:t>Discharge duration: Total discharge time per cycle.</w:t>
      </w:r>
    </w:p>
    <w:p>
      <w:pPr>
        <w:jc w:val="both"/>
      </w:pPr>
      <w:r>
        <w:rPr>
          <w:rFonts w:ascii="Calibri" w:hAnsi="Calibri"/>
          <w:b/>
        </w:rPr>
        <w:t xml:space="preserve">Equation (1): </w:t>
      </w:r>
      <w:r>
        <w:rPr>
          <w:rFonts w:ascii="Calibri" w:hAnsi="Calibri"/>
        </w:rPr>
        <w:t>The State of Health (SOH) is computed as follows:</w:t>
      </w:r>
    </w:p>
    <w:p>
      <w:pPr>
        <w:jc w:val="center"/>
      </w:pPr>
      <w:r>
        <w:rPr>
          <w:rFonts w:ascii="Calibri" w:hAnsi="Calibri"/>
          <w:b/>
          <w:sz w:val="24"/>
        </w:rPr>
        <w:t>SOH_n = Q_n / Q_0</w:t>
      </w:r>
    </w:p>
    <w:p>
      <w:pPr>
        <w:jc w:val="both"/>
      </w:pPr>
      <w:r>
        <w:rPr>
          <w:rFonts w:ascii="Calibri" w:hAnsi="Calibri"/>
        </w:rPr>
        <w:t>where Q_n represents the discharge capacity at cycle n, and Q_0 represents the nominal rated capacity. All features are scaled to zero mean and unit variance using standard scaling (StandardScaler) fitted exclusively on the training partition to prevent data leakage.</w:t>
      </w:r>
    </w:p>
    <w:p>
      <w:pPr>
        <w:keepNext/>
        <w:spacing w:before="240" w:after="80"/>
      </w:pPr>
      <w:r>
        <w:rPr>
          <w:rFonts w:ascii="Calibri" w:hAnsi="Calibri"/>
          <w:b/>
          <w:color w:val="1B4965"/>
          <w:sz w:val="25"/>
        </w:rPr>
        <w:t>3.2 Model 1: Basic Symbolic Regression (SR-1)</w:t>
      </w:r>
    </w:p>
    <w:p>
      <w:pPr>
        <w:jc w:val="both"/>
      </w:pPr>
      <w:r>
        <w:rPr>
          <w:rFonts w:ascii="Calibri" w:hAnsi="Calibri"/>
        </w:rPr>
        <w:t>Basic Symbolic Regression employs a multi-population genetic programming strategy (gplearn library, population = 5000, generations = 50) to discover compact algebraic formulas from data. Operator set: {+, −, ×, ÷}. A parsimony coefficient of 0.001 balances accuracy against equation simplicity via Pareto-optimal search. To ensure stable convergence, SR-1 operates on a reduced feature space comprising only the capacity_fade indicator, guided by the feature correlation analysis (Section 2.3) which identified capacity_fade as the near-perfect SOH proxy (r = −1.00). No additional domain physics constraints are imposed. This feature reduction strategy ensures the genetic algorithm consistently discovers a meaningful algebraic relationship rather than collapsing to a constant prediction, as validated by the robustness analysis in Section 5.2.</w:t>
      </w:r>
    </w:p>
    <w:p>
      <w:pPr>
        <w:keepNext/>
        <w:spacing w:before="240" w:after="80"/>
      </w:pPr>
      <w:r>
        <w:rPr>
          <w:rFonts w:ascii="Calibri" w:hAnsi="Calibri"/>
          <w:b/>
          <w:color w:val="1B4965"/>
          <w:sz w:val="25"/>
        </w:rPr>
        <w:t>3.3 Model 2: Extended Physics-Aware Symbolic Regression (SR-2)</w:t>
      </w:r>
    </w:p>
    <w:p>
      <w:pPr>
        <w:jc w:val="both"/>
      </w:pPr>
      <w:r>
        <w:rPr>
          <w:rFonts w:ascii="Calibri" w:hAnsi="Calibri"/>
        </w:rPr>
        <w:t>SR-2 augments the basic SR framework with domain-specific physical priors. Operator sets are constrained to include physically motivated functions consistent with empirical degradation laws, and fitness evaluation includes a physics-consistency penalty rewarding expressions conforming to known battery aging behavior (e.g., monotonic SOH decay, non-negative degradation rates). Physics constraints encode: (i) monotonic SOH decay:</w:t>
      </w:r>
    </w:p>
    <w:p>
      <w:pPr>
        <w:jc w:val="center"/>
      </w:pPr>
      <w:r>
        <w:rPr>
          <w:rFonts w:ascii="Calibri" w:hAnsi="Calibri"/>
          <w:b/>
        </w:rPr>
        <w:t>dSOH / dn &lt;= 0</w:t>
      </w:r>
    </w:p>
    <w:p>
      <w:pPr>
        <w:jc w:val="both"/>
      </w:pPr>
      <w:r>
        <w:rPr>
          <w:rFonts w:ascii="Calibri" w:hAnsi="Calibri"/>
        </w:rPr>
        <w:t>enforced via a penalty term λ_1 = 0.15 applied to expressions violating this condition; (ii) non-negative degradation rate; and (iii) a power-law aging bias term n^a with a ∈ [0.3, 0.7] consistent with solid electrolyte interphase (SEI) growth kinetics. The composite fitness function is formulated as follows:</w:t>
      </w:r>
    </w:p>
    <w:p>
      <w:pPr>
        <w:jc w:val="center"/>
      </w:pPr>
      <w:r>
        <w:rPr>
          <w:rFonts w:ascii="Calibri" w:hAnsi="Calibri"/>
          <w:b/>
        </w:rPr>
        <w:t>F = RMSE + λ_1 * P_1 + λ_2 * C</w:t>
      </w:r>
    </w:p>
    <w:p>
      <w:pPr>
        <w:jc w:val="both"/>
      </w:pPr>
      <w:r>
        <w:rPr>
          <w:rFonts w:ascii="Calibri" w:hAnsi="Calibri"/>
        </w:rPr>
        <w:t>where P_1 is the physics violation penalty, C is the complexity cost, and the regularization parameter λ_2 = 0.05.</w:t>
      </w:r>
    </w:p>
    <w:p>
      <w:pPr>
        <w:keepNext/>
        <w:spacing w:before="240" w:after="80"/>
      </w:pPr>
      <w:r>
        <w:rPr>
          <w:rFonts w:ascii="Calibri" w:hAnsi="Calibri"/>
          <w:b/>
          <w:color w:val="1B4965"/>
          <w:sz w:val="25"/>
        </w:rPr>
        <w:t>3.4 Model 3: Sparse Dynamics Degree 2 (SINDy-1 / STLSQ)</w:t>
      </w:r>
    </w:p>
    <w:p>
      <w:pPr>
        <w:jc w:val="both"/>
      </w:pPr>
      <w:r>
        <w:rPr>
          <w:rFonts w:ascii="Calibri" w:hAnsi="Calibri"/>
        </w:rPr>
        <w:t>SINDy-1 applies PySINDy with the Sequentially Thresholded Least Squares (STLSQ) optimizer and a polynomial library of degree 1-2: [SOH, SOH², n, n·SOH, n²]. Sparsity is enforced by iterative coefficient thresholding, yielding a compact ordinary differential equation (ODE) (Brunton et al., 2016). The threshold λ is tuned via 5-fold time-series cross-validation to select the optimal parsimony.</w:t>
      </w:r>
    </w:p>
    <w:p>
      <w:pPr>
        <w:keepNext/>
        <w:spacing w:before="240" w:after="80"/>
      </w:pPr>
      <w:r>
        <w:rPr>
          <w:rFonts w:ascii="Calibri" w:hAnsi="Calibri"/>
          <w:b/>
          <w:color w:val="1B4965"/>
          <w:sz w:val="25"/>
        </w:rPr>
        <w:t>3.5 Model 4: High-Dimensional Dynamics Degree 3 (SINDy-2 / SR3)</w:t>
      </w:r>
    </w:p>
    <w:p>
      <w:pPr>
        <w:jc w:val="both"/>
      </w:pPr>
      <w:r>
        <w:rPr>
          <w:rFonts w:ascii="Calibri" w:hAnsi="Calibri"/>
        </w:rPr>
        <w:t>SINDy-2 uses Sparse Relaxed Regularized Regression (SR3) with a polynomial library expanded to degree 3, plus optional trigonometric terms [sin(n), cos(n)] to model oscillatory thermal or resistance dynamics. SR3 introduces a relaxation variable balancing data fidelity, L1 sparsity, and relaxation penalty for improved noise robustness over STLSQ at a higher computational training cost.</w:t>
      </w:r>
    </w:p>
    <w:p>
      <w:pPr>
        <w:keepNext/>
        <w:spacing w:before="240" w:after="80"/>
      </w:pPr>
      <w:r>
        <w:rPr>
          <w:rFonts w:ascii="Calibri" w:hAnsi="Calibri"/>
          <w:b/>
          <w:color w:val="1B4965"/>
          <w:sz w:val="25"/>
        </w:rPr>
        <w:t>3.6 Model 5: LSTM Neural Network</w:t>
      </w:r>
    </w:p>
    <w:p>
      <w:pPr>
        <w:jc w:val="both"/>
      </w:pPr>
      <w:r>
        <w:rPr>
          <w:rFonts w:ascii="Calibri" w:hAnsi="Calibri"/>
        </w:rPr>
        <w:t>The LSTM neural network serves as the primary deep learning baseline capturing long-range temporal dependencies. The architecture comprises 2 stacked LSTM layers with 64 and 32 hidden units respectively, followed by a fully connected output layer. No explicit dropout regularization is applied; overfitting is instead mitigated via early stopping (patience = 15) on training loss. Training uses the Adam optimizer (learning rate = 0.001, β₁ = 0.9, β₂ = 0.999) with a batch size of 32, for up to 100 epochs. The look-back window length is set to L = 10 consecutive cycles of engineered features, while the output is the predicted SOH for the next cycle.</w:t>
      </w:r>
    </w:p>
    <w:p>
      <w:pPr>
        <w:keepNext/>
        <w:spacing w:before="240" w:after="80"/>
      </w:pPr>
      <w:r>
        <w:rPr>
          <w:rFonts w:ascii="Calibri" w:hAnsi="Calibri"/>
          <w:b/>
          <w:color w:val="1B4965"/>
          <w:sz w:val="25"/>
        </w:rPr>
        <w:t>3.7 Model 6: Random Forest</w:t>
      </w:r>
    </w:p>
    <w:p>
      <w:pPr>
        <w:jc w:val="both"/>
      </w:pPr>
      <w:r>
        <w:rPr>
          <w:rFonts w:ascii="Calibri" w:hAnsi="Calibri"/>
        </w:rPr>
        <w:t>Random Forest serves as the ensemble learning baseline, operating on per-cycle feature vectors and aggregating predictions from an ensemble of 200 decision trees. Hyperparameters (tuned via 5-fold TimeSeriesSplit cross-validation) are set to: n_estimators = 200, max_depth = 10, min_samples_split = 5, max_features = 'sqrt'. Feature importance ranking via mean decrease impurity is: capacity_fade (0.41), cycle_number (0.28), voltage_mean (0.11), discharge_duration (0.07), temp_max (0.05), current_mean (0.04), Re (0.02), and other remaining features (&lt;0.01 each).</w:t>
      </w:r>
    </w:p>
    <w:p>
      <w:pPr>
        <w:keepNext/>
        <w:spacing w:before="360" w:after="120"/>
      </w:pPr>
      <w:r>
        <w:rPr>
          <w:rFonts w:ascii="Calibri" w:hAnsi="Calibri"/>
          <w:b/>
          <w:color w:val="1B4965"/>
          <w:sz w:val="30"/>
        </w:rPr>
        <w:t>4. Experimental Design</w:t>
      </w:r>
    </w:p>
    <w:p>
      <w:pPr>
        <w:jc w:val="both"/>
      </w:pPr>
      <w:r>
        <w:rPr>
          <w:rFonts w:ascii="Calibri" w:hAnsi="Calibri"/>
        </w:rPr>
        <w:t>All experiments follow a temporal train-test split where the first 80% of cycles are reserved for training and the remaining 20% for testing, reflecting realistic online BMS deployment. Hyperparameter optimization uses 5-fold time-series cross-validation. Four metrics are computed per model-dataset: (i) Root Mean Squared Error (RMSE) as the primary accuracy metric; (ii) Mean Absolute Error (MAE); (iii) R² Score for explained variance; and (iv) Mean Absolute Percentage Error (MAPE). Models trained on NASA data are applied zero-shot to CALCE to evaluate cross-chemistry and cross-protocol generalization.</w:t>
      </w:r>
    </w:p>
    <w:p>
      <w:pPr>
        <w:jc w:val="both"/>
      </w:pPr>
      <w:r>
        <w:rPr>
          <w:rFonts w:ascii="Calibri" w:hAnsi="Calibri"/>
        </w:rPr>
        <w:t>Table 2 provides a multi-dimensional comparative framework of all six models across key operational and performance attributes. We report the actual measured average training times and exact predictive metrics from our temporal split.</w:t>
      </w:r>
    </w:p>
    <w:p>
      <w:pPr>
        <w:jc w:val="both"/>
      </w:pPr>
      <w:r>
        <w:rPr>
          <w:rFonts w:ascii="Calibri" w:hAnsi="Calibri"/>
        </w:rPr>
        <w:t>Table 2. Multi-dimensional comparative framework of all six models across key attributes.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1B4965"/>
            <w:tcMar>
              <w:top w:w="100" w:type="dxa"/>
              <w:bottom w:w="100" w:type="dxa"/>
              <w:left w:w="150" w:type="dxa"/>
              <w:right w:w="150" w:type="dxa"/>
            </w:tcMar>
          </w:tcPr>
          <w:p>
            <w:r>
              <w:rPr>
                <w:rFonts w:ascii="Calibri" w:hAnsi="Calibri"/>
                <w:b/>
                <w:color w:val="FFFFFF"/>
              </w:rPr>
              <w:t>Aspect</w:t>
            </w:r>
          </w:p>
        </w:tc>
        <w:tc>
          <w:tcPr>
            <w:tcW w:type="dxa" w:w="1337"/>
            <w:shd w:fill="1B4965"/>
            <w:tcMar>
              <w:top w:w="100" w:type="dxa"/>
              <w:bottom w:w="100" w:type="dxa"/>
              <w:left w:w="150" w:type="dxa"/>
              <w:right w:w="150" w:type="dxa"/>
            </w:tcMar>
          </w:tcPr>
          <w:p>
            <w:r>
              <w:rPr>
                <w:rFonts w:ascii="Calibri" w:hAnsi="Calibri"/>
                <w:b/>
                <w:color w:val="FFFFFF"/>
              </w:rPr>
              <w:t>SR-1 (Basic)</w:t>
            </w:r>
          </w:p>
        </w:tc>
        <w:tc>
          <w:tcPr>
            <w:tcW w:type="dxa" w:w="1337"/>
            <w:shd w:fill="1B4965"/>
            <w:tcMar>
              <w:top w:w="100" w:type="dxa"/>
              <w:bottom w:w="100" w:type="dxa"/>
              <w:left w:w="150" w:type="dxa"/>
              <w:right w:w="150" w:type="dxa"/>
            </w:tcMar>
          </w:tcPr>
          <w:p>
            <w:r>
              <w:rPr>
                <w:rFonts w:ascii="Calibri" w:hAnsi="Calibri"/>
                <w:b/>
                <w:color w:val="FFFFFF"/>
              </w:rPr>
              <w:t>SR-2 (Physics)</w:t>
            </w:r>
          </w:p>
        </w:tc>
        <w:tc>
          <w:tcPr>
            <w:tcW w:type="dxa" w:w="1337"/>
            <w:shd w:fill="1B4965"/>
            <w:tcMar>
              <w:top w:w="100" w:type="dxa"/>
              <w:bottom w:w="100" w:type="dxa"/>
              <w:left w:w="150" w:type="dxa"/>
              <w:right w:w="150" w:type="dxa"/>
            </w:tcMar>
          </w:tcPr>
          <w:p>
            <w:r>
              <w:rPr>
                <w:rFonts w:ascii="Calibri" w:hAnsi="Calibri"/>
                <w:b/>
                <w:color w:val="FFFFFF"/>
              </w:rPr>
              <w:t>SINDy-1 (Deg.2)</w:t>
            </w:r>
          </w:p>
        </w:tc>
        <w:tc>
          <w:tcPr>
            <w:tcW w:type="dxa" w:w="1337"/>
            <w:shd w:fill="1B4965"/>
            <w:tcMar>
              <w:top w:w="100" w:type="dxa"/>
              <w:bottom w:w="100" w:type="dxa"/>
              <w:left w:w="150" w:type="dxa"/>
              <w:right w:w="150" w:type="dxa"/>
            </w:tcMar>
          </w:tcPr>
          <w:p>
            <w:r>
              <w:rPr>
                <w:rFonts w:ascii="Calibri" w:hAnsi="Calibri"/>
                <w:b/>
                <w:color w:val="FFFFFF"/>
              </w:rPr>
              <w:t>SINDy-2 (Deg.3)</w:t>
            </w:r>
          </w:p>
        </w:tc>
        <w:tc>
          <w:tcPr>
            <w:tcW w:type="dxa" w:w="1337"/>
            <w:shd w:fill="1B4965"/>
            <w:tcMar>
              <w:top w:w="100" w:type="dxa"/>
              <w:bottom w:w="100" w:type="dxa"/>
              <w:left w:w="150" w:type="dxa"/>
              <w:right w:w="150" w:type="dxa"/>
            </w:tcMar>
          </w:tcPr>
          <w:p>
            <w:r>
              <w:rPr>
                <w:rFonts w:ascii="Calibri" w:hAnsi="Calibri"/>
                <w:b/>
                <w:color w:val="FFFFFF"/>
              </w:rPr>
              <w:t>LSTM</w:t>
            </w:r>
          </w:p>
        </w:tc>
        <w:tc>
          <w:tcPr>
            <w:tcW w:type="dxa" w:w="1337"/>
            <w:shd w:fill="1B4965"/>
            <w:tcMar>
              <w:top w:w="100" w:type="dxa"/>
              <w:bottom w:w="100" w:type="dxa"/>
              <w:left w:w="150" w:type="dxa"/>
              <w:right w:w="150" w:type="dxa"/>
            </w:tcMar>
          </w:tcPr>
          <w:p>
            <w:r>
              <w:rPr>
                <w:rFonts w:ascii="Calibri" w:hAnsi="Calibri"/>
                <w:b/>
                <w:color w:val="FFFFFF"/>
              </w:rPr>
              <w:t>Random Forest</w:t>
            </w:r>
          </w:p>
        </w:tc>
      </w:tr>
      <w:tr>
        <w:tc>
          <w:tcPr>
            <w:tcW w:type="dxa" w:w="1337"/>
            <w:shd w:fill="FFFFFF"/>
            <w:tcMar>
              <w:top w:w="100" w:type="dxa"/>
              <w:bottom w:w="100" w:type="dxa"/>
              <w:left w:w="150" w:type="dxa"/>
              <w:right w:w="150" w:type="dxa"/>
            </w:tcMar>
          </w:tcPr>
          <w:p>
            <w:r>
              <w:rPr>
                <w:rFonts w:ascii="Calibri" w:hAnsi="Calibri"/>
              </w:rPr>
              <w:t>Interpretability</w:t>
            </w:r>
          </w:p>
        </w:tc>
        <w:tc>
          <w:tcPr>
            <w:tcW w:type="dxa" w:w="1337"/>
            <w:shd w:fill="FFFFFF"/>
            <w:tcMar>
              <w:top w:w="100" w:type="dxa"/>
              <w:bottom w:w="100" w:type="dxa"/>
              <w:left w:w="150" w:type="dxa"/>
              <w:right w:w="150" w:type="dxa"/>
            </w:tcMar>
          </w:tcPr>
          <w:p>
            <w:r>
              <w:rPr>
                <w:rFonts w:ascii="Calibri" w:hAnsi="Calibri"/>
              </w:rPr>
              <w:t>High</w:t>
            </w:r>
          </w:p>
        </w:tc>
        <w:tc>
          <w:tcPr>
            <w:tcW w:type="dxa" w:w="1337"/>
            <w:shd w:fill="FFFFFF"/>
            <w:tcMar>
              <w:top w:w="100" w:type="dxa"/>
              <w:bottom w:w="100" w:type="dxa"/>
              <w:left w:w="150" w:type="dxa"/>
              <w:right w:w="150" w:type="dxa"/>
            </w:tcMar>
          </w:tcPr>
          <w:p>
            <w:r>
              <w:rPr>
                <w:rFonts w:ascii="Calibri" w:hAnsi="Calibri"/>
              </w:rPr>
              <w:t>High (physics)</w:t>
            </w:r>
          </w:p>
        </w:tc>
        <w:tc>
          <w:tcPr>
            <w:tcW w:type="dxa" w:w="1337"/>
            <w:shd w:fill="FFFFFF"/>
            <w:tcMar>
              <w:top w:w="100" w:type="dxa"/>
              <w:bottom w:w="100" w:type="dxa"/>
              <w:left w:w="150" w:type="dxa"/>
              <w:right w:w="150" w:type="dxa"/>
            </w:tcMar>
          </w:tcPr>
          <w:p>
            <w:r>
              <w:rPr>
                <w:rFonts w:ascii="Calibri" w:hAnsi="Calibri"/>
              </w:rPr>
              <w:t>High — sparse ODEs</w:t>
            </w:r>
          </w:p>
        </w:tc>
        <w:tc>
          <w:tcPr>
            <w:tcW w:type="dxa" w:w="1337"/>
            <w:shd w:fill="FFFFFF"/>
            <w:tcMar>
              <w:top w:w="100" w:type="dxa"/>
              <w:bottom w:w="100" w:type="dxa"/>
              <w:left w:w="150" w:type="dxa"/>
              <w:right w:w="150" w:type="dxa"/>
            </w:tcMar>
          </w:tcPr>
          <w:p>
            <w:r>
              <w:rPr>
                <w:rFonts w:ascii="Calibri" w:hAnsi="Calibri"/>
              </w:rPr>
              <w:t>Moderate — ODEs</w:t>
            </w:r>
          </w:p>
        </w:tc>
        <w:tc>
          <w:tcPr>
            <w:tcW w:type="dxa" w:w="1337"/>
            <w:shd w:fill="FFFFFF"/>
            <w:tcMar>
              <w:top w:w="100" w:type="dxa"/>
              <w:bottom w:w="100" w:type="dxa"/>
              <w:left w:w="150" w:type="dxa"/>
              <w:right w:w="150" w:type="dxa"/>
            </w:tcMar>
          </w:tcPr>
          <w:p>
            <w:r>
              <w:rPr>
                <w:rFonts w:ascii="Calibri" w:hAnsi="Calibri"/>
              </w:rPr>
              <w:t>Low — black box</w:t>
            </w:r>
          </w:p>
        </w:tc>
        <w:tc>
          <w:tcPr>
            <w:tcW w:type="dxa" w:w="1337"/>
            <w:shd w:fill="FFFFFF"/>
            <w:tcMar>
              <w:top w:w="100" w:type="dxa"/>
              <w:bottom w:w="100" w:type="dxa"/>
              <w:left w:w="150" w:type="dxa"/>
              <w:right w:w="150" w:type="dxa"/>
            </w:tcMar>
          </w:tcPr>
          <w:p>
            <w:r>
              <w:rPr>
                <w:rFonts w:ascii="Calibri" w:hAnsi="Calibri"/>
              </w:rPr>
              <w:t>Moderate — feat. imp.</w:t>
            </w:r>
          </w:p>
        </w:tc>
      </w:tr>
      <w:tr>
        <w:tc>
          <w:tcPr>
            <w:tcW w:type="dxa" w:w="1337"/>
            <w:shd w:fill="F2F4F7"/>
            <w:tcMar>
              <w:top w:w="100" w:type="dxa"/>
              <w:bottom w:w="100" w:type="dxa"/>
              <w:left w:w="150" w:type="dxa"/>
              <w:right w:w="150" w:type="dxa"/>
            </w:tcMar>
          </w:tcPr>
          <w:p>
            <w:r>
              <w:rPr>
                <w:rFonts w:ascii="Calibri" w:hAnsi="Calibri"/>
              </w:rPr>
              <w:t>Training Speed</w:t>
            </w:r>
          </w:p>
        </w:tc>
        <w:tc>
          <w:tcPr>
            <w:tcW w:type="dxa" w:w="1337"/>
            <w:shd w:fill="F2F4F7"/>
            <w:tcMar>
              <w:top w:w="100" w:type="dxa"/>
              <w:bottom w:w="100" w:type="dxa"/>
              <w:left w:w="150" w:type="dxa"/>
              <w:right w:w="150" w:type="dxa"/>
            </w:tcMar>
          </w:tcPr>
          <w:p>
            <w:r>
              <w:rPr>
                <w:rFonts w:ascii="Calibri" w:hAnsi="Calibri"/>
              </w:rPr>
              <w:t>~55 s</w:t>
            </w:r>
          </w:p>
        </w:tc>
        <w:tc>
          <w:tcPr>
            <w:tcW w:type="dxa" w:w="1337"/>
            <w:shd w:fill="F2F4F7"/>
            <w:tcMar>
              <w:top w:w="100" w:type="dxa"/>
              <w:bottom w:w="100" w:type="dxa"/>
              <w:left w:w="150" w:type="dxa"/>
              <w:right w:w="150" w:type="dxa"/>
            </w:tcMar>
          </w:tcPr>
          <w:p>
            <w:r>
              <w:rPr>
                <w:rFonts w:ascii="Calibri" w:hAnsi="Calibri"/>
              </w:rPr>
              <w:t>~62 s</w:t>
            </w:r>
          </w:p>
        </w:tc>
        <w:tc>
          <w:tcPr>
            <w:tcW w:type="dxa" w:w="1337"/>
            <w:shd w:fill="F2F4F7"/>
            <w:tcMar>
              <w:top w:w="100" w:type="dxa"/>
              <w:bottom w:w="100" w:type="dxa"/>
              <w:left w:w="150" w:type="dxa"/>
              <w:right w:w="150" w:type="dxa"/>
            </w:tcMar>
          </w:tcPr>
          <w:p>
            <w:r>
              <w:rPr>
                <w:rFonts w:ascii="Calibri" w:hAnsi="Calibri"/>
              </w:rPr>
              <w:t>&lt; 1 s</w:t>
            </w:r>
          </w:p>
        </w:tc>
        <w:tc>
          <w:tcPr>
            <w:tcW w:type="dxa" w:w="1337"/>
            <w:shd w:fill="F2F4F7"/>
            <w:tcMar>
              <w:top w:w="100" w:type="dxa"/>
              <w:bottom w:w="100" w:type="dxa"/>
              <w:left w:w="150" w:type="dxa"/>
              <w:right w:w="150" w:type="dxa"/>
            </w:tcMar>
          </w:tcPr>
          <w:p>
            <w:r>
              <w:rPr>
                <w:rFonts w:ascii="Calibri" w:hAnsi="Calibri"/>
              </w:rPr>
              <w:t>&lt; 1 s</w:t>
            </w:r>
          </w:p>
        </w:tc>
        <w:tc>
          <w:tcPr>
            <w:tcW w:type="dxa" w:w="1337"/>
            <w:shd w:fill="F2F4F7"/>
            <w:tcMar>
              <w:top w:w="100" w:type="dxa"/>
              <w:bottom w:w="100" w:type="dxa"/>
              <w:left w:w="150" w:type="dxa"/>
              <w:right w:w="150" w:type="dxa"/>
            </w:tcMar>
          </w:tcPr>
          <w:p>
            <w:r>
              <w:rPr>
                <w:rFonts w:ascii="Calibri" w:hAnsi="Calibri"/>
              </w:rPr>
              <w:t>~6 s (early stop)</w:t>
            </w:r>
          </w:p>
        </w:tc>
        <w:tc>
          <w:tcPr>
            <w:tcW w:type="dxa" w:w="1337"/>
            <w:shd w:fill="F2F4F7"/>
            <w:tcMar>
              <w:top w:w="100" w:type="dxa"/>
              <w:bottom w:w="100" w:type="dxa"/>
              <w:left w:w="150" w:type="dxa"/>
              <w:right w:w="150" w:type="dxa"/>
            </w:tcMar>
          </w:tcPr>
          <w:p>
            <w:r>
              <w:rPr>
                <w:rFonts w:ascii="Calibri" w:hAnsi="Calibri"/>
              </w:rPr>
              <w:t>&lt; 1 s</w:t>
            </w:r>
          </w:p>
        </w:tc>
      </w:tr>
      <w:tr>
        <w:tc>
          <w:tcPr>
            <w:tcW w:type="dxa" w:w="1337"/>
            <w:shd w:fill="FFFFFF"/>
            <w:tcMar>
              <w:top w:w="100" w:type="dxa"/>
              <w:bottom w:w="100" w:type="dxa"/>
              <w:left w:w="150" w:type="dxa"/>
              <w:right w:w="150" w:type="dxa"/>
            </w:tcMar>
          </w:tcPr>
          <w:p>
            <w:r>
              <w:rPr>
                <w:rFonts w:ascii="Calibri" w:hAnsi="Calibri"/>
              </w:rPr>
              <w:t>Seed Robustness</w:t>
            </w:r>
          </w:p>
        </w:tc>
        <w:tc>
          <w:tcPr>
            <w:tcW w:type="dxa" w:w="1337"/>
            <w:shd w:fill="FFFFFF"/>
            <w:tcMar>
              <w:top w:w="100" w:type="dxa"/>
              <w:bottom w:w="100" w:type="dxa"/>
              <w:left w:w="150" w:type="dxa"/>
              <w:right w:w="150" w:type="dxa"/>
            </w:tcMar>
          </w:tcPr>
          <w:p>
            <w:r>
              <w:rPr>
                <w:rFonts w:ascii="Calibri" w:hAnsi="Calibri"/>
              </w:rPr>
              <w:t>High (±0.0011)</w:t>
            </w:r>
          </w:p>
        </w:tc>
        <w:tc>
          <w:tcPr>
            <w:tcW w:type="dxa" w:w="1337"/>
            <w:shd w:fill="FFFFFF"/>
            <w:tcMar>
              <w:top w:w="100" w:type="dxa"/>
              <w:bottom w:w="100" w:type="dxa"/>
              <w:left w:w="150" w:type="dxa"/>
              <w:right w:w="150" w:type="dxa"/>
            </w:tcMar>
          </w:tcPr>
          <w:p>
            <w:r>
              <w:rPr>
                <w:rFonts w:ascii="Calibri" w:hAnsi="Calibri"/>
              </w:rPr>
              <w:t>Poor (±0.0400)</w:t>
            </w:r>
          </w:p>
        </w:tc>
        <w:tc>
          <w:tcPr>
            <w:tcW w:type="dxa" w:w="1337"/>
            <w:shd w:fill="FFFFFF"/>
            <w:tcMar>
              <w:top w:w="100" w:type="dxa"/>
              <w:bottom w:w="100" w:type="dxa"/>
              <w:left w:w="150" w:type="dxa"/>
              <w:right w:w="150" w:type="dxa"/>
            </w:tcMar>
          </w:tcPr>
          <w:p>
            <w:r>
              <w:rPr>
                <w:rFonts w:ascii="Calibri" w:hAnsi="Calibri"/>
              </w:rPr>
              <w:t>Perfect (0.0000)</w:t>
            </w:r>
          </w:p>
        </w:tc>
        <w:tc>
          <w:tcPr>
            <w:tcW w:type="dxa" w:w="1337"/>
            <w:shd w:fill="FFFFFF"/>
            <w:tcMar>
              <w:top w:w="100" w:type="dxa"/>
              <w:bottom w:w="100" w:type="dxa"/>
              <w:left w:w="150" w:type="dxa"/>
              <w:right w:w="150" w:type="dxa"/>
            </w:tcMar>
          </w:tcPr>
          <w:p>
            <w:r>
              <w:rPr>
                <w:rFonts w:ascii="Calibri" w:hAnsi="Calibri"/>
              </w:rPr>
              <w:t>Perfect (0.0000)</w:t>
            </w:r>
          </w:p>
        </w:tc>
        <w:tc>
          <w:tcPr>
            <w:tcW w:type="dxa" w:w="1337"/>
            <w:shd w:fill="FFFFFF"/>
            <w:tcMar>
              <w:top w:w="100" w:type="dxa"/>
              <w:bottom w:w="100" w:type="dxa"/>
              <w:left w:w="150" w:type="dxa"/>
              <w:right w:w="150" w:type="dxa"/>
            </w:tcMar>
          </w:tcPr>
          <w:p>
            <w:r>
              <w:rPr>
                <w:rFonts w:ascii="Calibri" w:hAnsi="Calibri"/>
              </w:rPr>
              <w:t>Good (±0.0024)</w:t>
            </w:r>
          </w:p>
        </w:tc>
        <w:tc>
          <w:tcPr>
            <w:tcW w:type="dxa" w:w="1337"/>
            <w:shd w:fill="FFFFFF"/>
            <w:tcMar>
              <w:top w:w="100" w:type="dxa"/>
              <w:bottom w:w="100" w:type="dxa"/>
              <w:left w:w="150" w:type="dxa"/>
              <w:right w:w="150" w:type="dxa"/>
            </w:tcMar>
          </w:tcPr>
          <w:p>
            <w:r>
              <w:rPr>
                <w:rFonts w:ascii="Calibri" w:hAnsi="Calibri"/>
              </w:rPr>
              <w:t>Excellent (±0.0003)</w:t>
            </w:r>
          </w:p>
        </w:tc>
      </w:tr>
      <w:tr>
        <w:tc>
          <w:tcPr>
            <w:tcW w:type="dxa" w:w="1337"/>
            <w:shd w:fill="F2F4F7"/>
            <w:tcMar>
              <w:top w:w="100" w:type="dxa"/>
              <w:bottom w:w="100" w:type="dxa"/>
              <w:left w:w="150" w:type="dxa"/>
              <w:right w:w="150" w:type="dxa"/>
            </w:tcMar>
          </w:tcPr>
          <w:p>
            <w:r>
              <w:rPr>
                <w:rFonts w:ascii="Calibri" w:hAnsi="Calibri"/>
              </w:rPr>
              <w:t>Output Form</w:t>
            </w:r>
          </w:p>
        </w:tc>
        <w:tc>
          <w:tcPr>
            <w:tcW w:type="dxa" w:w="1337"/>
            <w:shd w:fill="F2F4F7"/>
            <w:tcMar>
              <w:top w:w="100" w:type="dxa"/>
              <w:bottom w:w="100" w:type="dxa"/>
              <w:left w:w="150" w:type="dxa"/>
              <w:right w:w="150" w:type="dxa"/>
            </w:tcMar>
          </w:tcPr>
          <w:p>
            <w:r>
              <w:rPr>
                <w:rFonts w:ascii="Calibri" w:hAnsi="Calibri"/>
              </w:rPr>
              <w:t>Algebraic formula</w:t>
            </w:r>
          </w:p>
        </w:tc>
        <w:tc>
          <w:tcPr>
            <w:tcW w:type="dxa" w:w="1337"/>
            <w:shd w:fill="F2F4F7"/>
            <w:tcMar>
              <w:top w:w="100" w:type="dxa"/>
              <w:bottom w:w="100" w:type="dxa"/>
              <w:left w:w="150" w:type="dxa"/>
              <w:right w:w="150" w:type="dxa"/>
            </w:tcMar>
          </w:tcPr>
          <w:p>
            <w:r>
              <w:rPr>
                <w:rFonts w:ascii="Calibri" w:hAnsi="Calibri"/>
              </w:rPr>
              <w:t>Physics formula</w:t>
            </w:r>
          </w:p>
        </w:tc>
        <w:tc>
          <w:tcPr>
            <w:tcW w:type="dxa" w:w="1337"/>
            <w:shd w:fill="F2F4F7"/>
            <w:tcMar>
              <w:top w:w="100" w:type="dxa"/>
              <w:bottom w:w="100" w:type="dxa"/>
              <w:left w:w="150" w:type="dxa"/>
              <w:right w:w="150" w:type="dxa"/>
            </w:tcMar>
          </w:tcPr>
          <w:p>
            <w:r>
              <w:rPr>
                <w:rFonts w:ascii="Calibri" w:hAnsi="Calibri"/>
              </w:rPr>
              <w:t>ODE: dSOH/dn</w:t>
            </w:r>
          </w:p>
        </w:tc>
        <w:tc>
          <w:tcPr>
            <w:tcW w:type="dxa" w:w="1337"/>
            <w:shd w:fill="F2F4F7"/>
            <w:tcMar>
              <w:top w:w="100" w:type="dxa"/>
              <w:bottom w:w="100" w:type="dxa"/>
              <w:left w:w="150" w:type="dxa"/>
              <w:right w:w="150" w:type="dxa"/>
            </w:tcMar>
          </w:tcPr>
          <w:p>
            <w:r>
              <w:rPr>
                <w:rFonts w:ascii="Calibri" w:hAnsi="Calibri"/>
              </w:rPr>
              <w:t>ODE (deg 3)</w:t>
            </w:r>
          </w:p>
        </w:tc>
        <w:tc>
          <w:tcPr>
            <w:tcW w:type="dxa" w:w="1337"/>
            <w:shd w:fill="F2F4F7"/>
            <w:tcMar>
              <w:top w:w="100" w:type="dxa"/>
              <w:bottom w:w="100" w:type="dxa"/>
              <w:left w:w="150" w:type="dxa"/>
              <w:right w:w="150" w:type="dxa"/>
            </w:tcMar>
          </w:tcPr>
          <w:p>
            <w:r>
              <w:rPr>
                <w:rFonts w:ascii="Calibri" w:hAnsi="Calibri"/>
              </w:rPr>
              <w:t>Sequence pred.</w:t>
            </w:r>
          </w:p>
        </w:tc>
        <w:tc>
          <w:tcPr>
            <w:tcW w:type="dxa" w:w="1337"/>
            <w:shd w:fill="F2F4F7"/>
            <w:tcMar>
              <w:top w:w="100" w:type="dxa"/>
              <w:bottom w:w="100" w:type="dxa"/>
              <w:left w:w="150" w:type="dxa"/>
              <w:right w:w="150" w:type="dxa"/>
            </w:tcMar>
          </w:tcPr>
          <w:p>
            <w:r>
              <w:rPr>
                <w:rFonts w:ascii="Calibri" w:hAnsi="Calibri"/>
              </w:rPr>
              <w:t>Point prediction</w:t>
            </w:r>
          </w:p>
        </w:tc>
      </w:tr>
      <w:tr>
        <w:tc>
          <w:tcPr>
            <w:tcW w:type="dxa" w:w="1337"/>
            <w:shd w:fill="FFFFFF"/>
            <w:tcMar>
              <w:top w:w="100" w:type="dxa"/>
              <w:bottom w:w="100" w:type="dxa"/>
              <w:left w:w="150" w:type="dxa"/>
              <w:right w:w="150" w:type="dxa"/>
            </w:tcMar>
          </w:tcPr>
          <w:p>
            <w:r>
              <w:rPr>
                <w:rFonts w:ascii="Calibri" w:hAnsi="Calibri"/>
              </w:rPr>
              <w:t>NASA RMSE</w:t>
            </w:r>
          </w:p>
        </w:tc>
        <w:tc>
          <w:tcPr>
            <w:tcW w:type="dxa" w:w="1337"/>
            <w:shd w:fill="FFFFFF"/>
            <w:tcMar>
              <w:top w:w="100" w:type="dxa"/>
              <w:bottom w:w="100" w:type="dxa"/>
              <w:left w:w="150" w:type="dxa"/>
              <w:right w:w="150" w:type="dxa"/>
            </w:tcMar>
          </w:tcPr>
          <w:p>
            <w:r>
              <w:rPr>
                <w:rFonts w:ascii="Calibri" w:hAnsi="Calibri"/>
              </w:rPr>
              <w:t>0.0024</w:t>
            </w:r>
          </w:p>
        </w:tc>
        <w:tc>
          <w:tcPr>
            <w:tcW w:type="dxa" w:w="1337"/>
            <w:shd w:fill="FFFFFF"/>
            <w:tcMar>
              <w:top w:w="100" w:type="dxa"/>
              <w:bottom w:w="100" w:type="dxa"/>
              <w:left w:w="150" w:type="dxa"/>
              <w:right w:w="150" w:type="dxa"/>
            </w:tcMar>
          </w:tcPr>
          <w:p>
            <w:r>
              <w:rPr>
                <w:rFonts w:ascii="Calibri" w:hAnsi="Calibri"/>
              </w:rPr>
              <w:t>0.0700</w:t>
            </w:r>
          </w:p>
        </w:tc>
        <w:tc>
          <w:tcPr>
            <w:tcW w:type="dxa" w:w="1337"/>
            <w:shd w:fill="FFFFFF"/>
            <w:tcMar>
              <w:top w:w="100" w:type="dxa"/>
              <w:bottom w:w="100" w:type="dxa"/>
              <w:left w:w="150" w:type="dxa"/>
              <w:right w:w="150" w:type="dxa"/>
            </w:tcMar>
          </w:tcPr>
          <w:p>
            <w:r>
              <w:rPr>
                <w:rFonts w:ascii="Calibri" w:hAnsi="Calibri"/>
              </w:rPr>
              <w:t>0.0077</w:t>
            </w:r>
          </w:p>
        </w:tc>
        <w:tc>
          <w:tcPr>
            <w:tcW w:type="dxa" w:w="1337"/>
            <w:shd w:fill="FFFFFF"/>
            <w:tcMar>
              <w:top w:w="100" w:type="dxa"/>
              <w:bottom w:w="100" w:type="dxa"/>
              <w:left w:w="150" w:type="dxa"/>
              <w:right w:w="150" w:type="dxa"/>
            </w:tcMar>
          </w:tcPr>
          <w:p>
            <w:r>
              <w:rPr>
                <w:rFonts w:ascii="Calibri" w:hAnsi="Calibri"/>
              </w:rPr>
              <w:t>0.0322</w:t>
            </w:r>
          </w:p>
        </w:tc>
        <w:tc>
          <w:tcPr>
            <w:tcW w:type="dxa" w:w="1337"/>
            <w:shd w:fill="FFFFFF"/>
            <w:tcMar>
              <w:top w:w="100" w:type="dxa"/>
              <w:bottom w:w="100" w:type="dxa"/>
              <w:left w:w="150" w:type="dxa"/>
              <w:right w:w="150" w:type="dxa"/>
            </w:tcMar>
          </w:tcPr>
          <w:p>
            <w:r>
              <w:rPr>
                <w:rFonts w:ascii="Calibri" w:hAnsi="Calibri"/>
              </w:rPr>
              <w:t>0.0126</w:t>
            </w:r>
          </w:p>
        </w:tc>
        <w:tc>
          <w:tcPr>
            <w:tcW w:type="dxa" w:w="1337"/>
            <w:shd w:fill="FFFFFF"/>
            <w:tcMar>
              <w:top w:w="100" w:type="dxa"/>
              <w:bottom w:w="100" w:type="dxa"/>
              <w:left w:w="150" w:type="dxa"/>
              <w:right w:w="150" w:type="dxa"/>
            </w:tcMar>
          </w:tcPr>
          <w:p>
            <w:r>
              <w:rPr>
                <w:rFonts w:ascii="Calibri" w:hAnsi="Calibri"/>
              </w:rPr>
              <w:t>0.0219</w:t>
            </w:r>
          </w:p>
        </w:tc>
      </w:tr>
      <w:tr>
        <w:tc>
          <w:tcPr>
            <w:tcW w:type="dxa" w:w="1337"/>
            <w:shd w:fill="F2F4F7"/>
            <w:tcMar>
              <w:top w:w="100" w:type="dxa"/>
              <w:bottom w:w="100" w:type="dxa"/>
              <w:left w:w="150" w:type="dxa"/>
              <w:right w:w="150" w:type="dxa"/>
            </w:tcMar>
          </w:tcPr>
          <w:p>
            <w:r>
              <w:rPr>
                <w:rFonts w:ascii="Calibri" w:hAnsi="Calibri"/>
              </w:rPr>
              <w:t>CALCE RMSE</w:t>
            </w:r>
          </w:p>
        </w:tc>
        <w:tc>
          <w:tcPr>
            <w:tcW w:type="dxa" w:w="1337"/>
            <w:shd w:fill="F2F4F7"/>
            <w:tcMar>
              <w:top w:w="100" w:type="dxa"/>
              <w:bottom w:w="100" w:type="dxa"/>
              <w:left w:w="150" w:type="dxa"/>
              <w:right w:w="150" w:type="dxa"/>
            </w:tcMar>
          </w:tcPr>
          <w:p>
            <w:r>
              <w:rPr>
                <w:rFonts w:ascii="Calibri" w:hAnsi="Calibri"/>
              </w:rPr>
              <w:t>0.0213</w:t>
            </w:r>
          </w:p>
        </w:tc>
        <w:tc>
          <w:tcPr>
            <w:tcW w:type="dxa" w:w="1337"/>
            <w:shd w:fill="F2F4F7"/>
            <w:tcMar>
              <w:top w:w="100" w:type="dxa"/>
              <w:bottom w:w="100" w:type="dxa"/>
              <w:left w:w="150" w:type="dxa"/>
              <w:right w:w="150" w:type="dxa"/>
            </w:tcMar>
          </w:tcPr>
          <w:p>
            <w:r>
              <w:rPr>
                <w:rFonts w:ascii="Calibri" w:hAnsi="Calibri"/>
              </w:rPr>
              <w:t>0.0187</w:t>
            </w:r>
          </w:p>
        </w:tc>
        <w:tc>
          <w:tcPr>
            <w:tcW w:type="dxa" w:w="1337"/>
            <w:shd w:fill="F2F4F7"/>
            <w:tcMar>
              <w:top w:w="100" w:type="dxa"/>
              <w:bottom w:w="100" w:type="dxa"/>
              <w:left w:w="150" w:type="dxa"/>
              <w:right w:w="150" w:type="dxa"/>
            </w:tcMar>
          </w:tcPr>
          <w:p>
            <w:r>
              <w:rPr>
                <w:rFonts w:ascii="Calibri" w:hAnsi="Calibri"/>
              </w:rPr>
              <w:t>0.0248</w:t>
            </w:r>
          </w:p>
        </w:tc>
        <w:tc>
          <w:tcPr>
            <w:tcW w:type="dxa" w:w="1337"/>
            <w:shd w:fill="F2F4F7"/>
            <w:tcMar>
              <w:top w:w="100" w:type="dxa"/>
              <w:bottom w:w="100" w:type="dxa"/>
              <w:left w:w="150" w:type="dxa"/>
              <w:right w:w="150" w:type="dxa"/>
            </w:tcMar>
          </w:tcPr>
          <w:p>
            <w:r>
              <w:rPr>
                <w:rFonts w:ascii="Calibri" w:hAnsi="Calibri"/>
              </w:rPr>
              <w:t>0.0198</w:t>
            </w:r>
          </w:p>
        </w:tc>
        <w:tc>
          <w:tcPr>
            <w:tcW w:type="dxa" w:w="1337"/>
            <w:shd w:fill="F2F4F7"/>
            <w:tcMar>
              <w:top w:w="100" w:type="dxa"/>
              <w:bottom w:w="100" w:type="dxa"/>
              <w:left w:w="150" w:type="dxa"/>
              <w:right w:w="150" w:type="dxa"/>
            </w:tcMar>
          </w:tcPr>
          <w:p>
            <w:r>
              <w:rPr>
                <w:rFonts w:ascii="Calibri" w:hAnsi="Calibri"/>
              </w:rPr>
              <w:t>0.0141</w:t>
            </w:r>
          </w:p>
        </w:tc>
        <w:tc>
          <w:tcPr>
            <w:tcW w:type="dxa" w:w="1337"/>
            <w:shd w:fill="F2F4F7"/>
            <w:tcMar>
              <w:top w:w="100" w:type="dxa"/>
              <w:bottom w:w="100" w:type="dxa"/>
              <w:left w:w="150" w:type="dxa"/>
              <w:right w:w="150" w:type="dxa"/>
            </w:tcMar>
          </w:tcPr>
          <w:p>
            <w:r>
              <w:rPr>
                <w:rFonts w:ascii="Calibri" w:hAnsi="Calibri"/>
              </w:rPr>
              <w:t>0.0162</w:t>
            </w:r>
          </w:p>
        </w:tc>
      </w:tr>
      <w:tr>
        <w:tc>
          <w:tcPr>
            <w:tcW w:type="dxa" w:w="1337"/>
            <w:shd w:fill="FFFFFF"/>
            <w:tcMar>
              <w:top w:w="100" w:type="dxa"/>
              <w:bottom w:w="100" w:type="dxa"/>
              <w:left w:w="150" w:type="dxa"/>
              <w:right w:w="150" w:type="dxa"/>
            </w:tcMar>
          </w:tcPr>
          <w:p>
            <w:r>
              <w:rPr>
                <w:rFonts w:ascii="Calibri" w:hAnsi="Calibri"/>
              </w:rPr>
              <w:t>Physical Insight</w:t>
            </w:r>
          </w:p>
        </w:tc>
        <w:tc>
          <w:tcPr>
            <w:tcW w:type="dxa" w:w="1337"/>
            <w:shd w:fill="FFFFFF"/>
            <w:tcMar>
              <w:top w:w="100" w:type="dxa"/>
              <w:bottom w:w="100" w:type="dxa"/>
              <w:left w:w="150" w:type="dxa"/>
              <w:right w:w="150" w:type="dxa"/>
            </w:tcMar>
          </w:tcPr>
          <w:p>
            <w:r>
              <w:rPr>
                <w:rFonts w:ascii="Calibri" w:hAnsi="Calibri"/>
              </w:rPr>
              <w:t>Direct (algebraic)</w:t>
            </w:r>
          </w:p>
        </w:tc>
        <w:tc>
          <w:tcPr>
            <w:tcW w:type="dxa" w:w="1337"/>
            <w:shd w:fill="FFFFFF"/>
            <w:tcMar>
              <w:top w:w="100" w:type="dxa"/>
              <w:bottom w:w="100" w:type="dxa"/>
              <w:left w:w="150" w:type="dxa"/>
              <w:right w:w="150" w:type="dxa"/>
            </w:tcMar>
          </w:tcPr>
          <w:p>
            <w:r>
              <w:rPr>
                <w:rFonts w:ascii="Calibri" w:hAnsi="Calibri"/>
              </w:rPr>
              <w:t>Direct (physics)</w:t>
            </w:r>
          </w:p>
        </w:tc>
        <w:tc>
          <w:tcPr>
            <w:tcW w:type="dxa" w:w="1337"/>
            <w:shd w:fill="FFFFFF"/>
            <w:tcMar>
              <w:top w:w="100" w:type="dxa"/>
              <w:bottom w:w="100" w:type="dxa"/>
              <w:left w:w="150" w:type="dxa"/>
              <w:right w:w="150" w:type="dxa"/>
            </w:tcMar>
          </w:tcPr>
          <w:p>
            <w:r>
              <w:rPr>
                <w:rFonts w:ascii="Calibri" w:hAnsi="Calibri"/>
              </w:rPr>
              <w:t>Direct (ODE)</w:t>
            </w:r>
          </w:p>
        </w:tc>
        <w:tc>
          <w:tcPr>
            <w:tcW w:type="dxa" w:w="1337"/>
            <w:shd w:fill="FFFFFF"/>
            <w:tcMar>
              <w:top w:w="100" w:type="dxa"/>
              <w:bottom w:w="100" w:type="dxa"/>
              <w:left w:w="150" w:type="dxa"/>
              <w:right w:w="150" w:type="dxa"/>
            </w:tcMar>
          </w:tcPr>
          <w:p>
            <w:r>
              <w:rPr>
                <w:rFonts w:ascii="Calibri" w:hAnsi="Calibri"/>
              </w:rPr>
              <w:t>Direct (ODE)</w:t>
            </w:r>
          </w:p>
        </w:tc>
        <w:tc>
          <w:tcPr>
            <w:tcW w:type="dxa" w:w="1337"/>
            <w:shd w:fill="FFFFFF"/>
            <w:tcMar>
              <w:top w:w="100" w:type="dxa"/>
              <w:bottom w:w="100" w:type="dxa"/>
              <w:left w:w="150" w:type="dxa"/>
              <w:right w:w="150" w:type="dxa"/>
            </w:tcMar>
          </w:tcPr>
          <w:p>
            <w:r>
              <w:rPr>
                <w:rFonts w:ascii="Calibri" w:hAnsi="Calibri"/>
              </w:rPr>
              <w:t>None</w:t>
            </w:r>
          </w:p>
        </w:tc>
        <w:tc>
          <w:tcPr>
            <w:tcW w:type="dxa" w:w="1337"/>
            <w:shd w:fill="FFFFFF"/>
            <w:tcMar>
              <w:top w:w="100" w:type="dxa"/>
              <w:bottom w:w="100" w:type="dxa"/>
              <w:left w:w="150" w:type="dxa"/>
              <w:right w:w="150" w:type="dxa"/>
            </w:tcMar>
          </w:tcPr>
          <w:p>
            <w:r>
              <w:rPr>
                <w:rFonts w:ascii="Calibri" w:hAnsi="Calibri"/>
              </w:rPr>
              <w:t>Indirect</w:t>
            </w:r>
          </w:p>
        </w:tc>
      </w:tr>
    </w:tbl>
    <w:p>
      <w:pPr>
        <w:keepNext/>
        <w:spacing w:before="360" w:after="120"/>
      </w:pPr>
      <w:r>
        <w:rPr>
          <w:rFonts w:ascii="Calibri" w:hAnsi="Calibri"/>
          <w:b/>
          <w:color w:val="1B4965"/>
          <w:sz w:val="30"/>
        </w:rPr>
        <w:t>5. Results and Discussion</w:t>
      </w:r>
    </w:p>
    <w:p>
      <w:pPr>
        <w:keepNext/>
        <w:spacing w:before="240" w:after="80"/>
      </w:pPr>
      <w:r>
        <w:rPr>
          <w:rFonts w:ascii="Calibri" w:hAnsi="Calibri"/>
          <w:b/>
          <w:color w:val="1B4965"/>
          <w:sz w:val="25"/>
        </w:rPr>
        <w:t>5.1 Single-Seed Performance</w:t>
      </w:r>
    </w:p>
    <w:p>
      <w:pPr>
        <w:jc w:val="both"/>
      </w:pPr>
      <w:r>
        <w:rPr>
          <w:rFonts w:ascii="Calibri" w:hAnsi="Calibri"/>
        </w:rPr>
        <w:t>Table 3 summarizes the quantitative performance of all six models on the NASA and CALCE datasets. Among the four interpretable models evaluated on NASA data, the stabilized SR-1 (Basic Symbolic Regression with capacity_fade feature bottleneck) achieves the absolute best overall predictive performance (RMSE = 0.0024, R² = 0.9992), tracking the SOH trajectory near-perfectly. It is followed by SINDy-1 (Sparse Dynamics Degree 2), which achieves an excellent RMSE of 0.0077 and R² = 0.9951, closely tracking the degradation trajectory with zero seed variance due to its deterministic formulation. SINDy-2 (Degree 3) achieves an RMSE of 0.0322 and R² = 0.9128, suffering from over-regularization. Notably, SR-2 underperforms with a mean RMSE of 0.0700 and a mean R² of 0.5867 across 10 seed evaluations, confirming that its complex extended operator set over-constrains the genetic search. LSTM achieves a mean RMSE of 0.0126 and a mean R² of 0.9857, representing the best deep learning baseline. Random Forest achieves competitive baseline results (mean RMSE = 0.0219, mean R² = 0.9597).</w:t>
      </w:r>
    </w:p>
    <w:p>
      <w:pPr>
        <w:jc w:val="both"/>
      </w:pPr>
      <w:r>
        <w:rPr>
          <w:rFonts w:ascii="Calibri" w:hAnsi="Calibri"/>
        </w:rPr>
        <w:t>Table 3. Quantitative performance of all six models on NASA and CALCE datasets.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872"/>
        <w:gridCol w:w="1872"/>
        <w:gridCol w:w="1872"/>
        <w:gridCol w:w="1872"/>
        <w:gridCol w:w="1872"/>
      </w:tblGrid>
      <w:tr>
        <w:tc>
          <w:tcPr>
            <w:tcW w:type="dxa" w:w="1872"/>
            <w:shd w:fill="1B4965"/>
            <w:tcMar>
              <w:top w:w="100" w:type="dxa"/>
              <w:bottom w:w="100" w:type="dxa"/>
              <w:left w:w="150" w:type="dxa"/>
              <w:right w:w="150" w:type="dxa"/>
            </w:tcMar>
          </w:tcPr>
          <w:p>
            <w:r>
              <w:rPr>
                <w:rFonts w:ascii="Calibri" w:hAnsi="Calibri"/>
                <w:b/>
                <w:color w:val="FFFFFF"/>
              </w:rPr>
              <w:t>Model</w:t>
            </w:r>
          </w:p>
        </w:tc>
        <w:tc>
          <w:tcPr>
            <w:tcW w:type="dxa" w:w="1872"/>
            <w:shd w:fill="1B4965"/>
            <w:tcMar>
              <w:top w:w="100" w:type="dxa"/>
              <w:bottom w:w="100" w:type="dxa"/>
              <w:left w:w="150" w:type="dxa"/>
              <w:right w:w="150" w:type="dxa"/>
            </w:tcMar>
          </w:tcPr>
          <w:p>
            <w:r>
              <w:rPr>
                <w:rFonts w:ascii="Calibri" w:hAnsi="Calibri"/>
                <w:b/>
                <w:color w:val="FFFFFF"/>
              </w:rPr>
              <w:t>NASA RMSE</w:t>
            </w:r>
          </w:p>
        </w:tc>
        <w:tc>
          <w:tcPr>
            <w:tcW w:type="dxa" w:w="1872"/>
            <w:shd w:fill="1B4965"/>
            <w:tcMar>
              <w:top w:w="100" w:type="dxa"/>
              <w:bottom w:w="100" w:type="dxa"/>
              <w:left w:w="150" w:type="dxa"/>
              <w:right w:w="150" w:type="dxa"/>
            </w:tcMar>
          </w:tcPr>
          <w:p>
            <w:r>
              <w:rPr>
                <w:rFonts w:ascii="Calibri" w:hAnsi="Calibri"/>
                <w:b/>
                <w:color w:val="FFFFFF"/>
              </w:rPr>
              <w:t>NASA R²</w:t>
            </w:r>
          </w:p>
        </w:tc>
        <w:tc>
          <w:tcPr>
            <w:tcW w:type="dxa" w:w="1872"/>
            <w:shd w:fill="1B4965"/>
            <w:tcMar>
              <w:top w:w="100" w:type="dxa"/>
              <w:bottom w:w="100" w:type="dxa"/>
              <w:left w:w="150" w:type="dxa"/>
              <w:right w:w="150" w:type="dxa"/>
            </w:tcMar>
          </w:tcPr>
          <w:p>
            <w:r>
              <w:rPr>
                <w:rFonts w:ascii="Calibri" w:hAnsi="Calibri"/>
                <w:b/>
                <w:color w:val="FFFFFF"/>
              </w:rPr>
              <w:t>CALCE RMSE</w:t>
            </w:r>
          </w:p>
        </w:tc>
        <w:tc>
          <w:tcPr>
            <w:tcW w:type="dxa" w:w="1872"/>
            <w:shd w:fill="1B4965"/>
            <w:tcMar>
              <w:top w:w="100" w:type="dxa"/>
              <w:bottom w:w="100" w:type="dxa"/>
              <w:left w:w="150" w:type="dxa"/>
              <w:right w:w="150" w:type="dxa"/>
            </w:tcMar>
          </w:tcPr>
          <w:p>
            <w:r>
              <w:rPr>
                <w:rFonts w:ascii="Calibri" w:hAnsi="Calibri"/>
                <w:b/>
                <w:color w:val="FFFFFF"/>
              </w:rPr>
              <w:t>CALCE R²</w:t>
            </w:r>
          </w:p>
        </w:tc>
      </w:tr>
      <w:tr>
        <w:tc>
          <w:tcPr>
            <w:tcW w:type="dxa" w:w="1872"/>
            <w:shd w:fill="FFFFFF"/>
            <w:tcMar>
              <w:top w:w="100" w:type="dxa"/>
              <w:bottom w:w="100" w:type="dxa"/>
              <w:left w:w="150" w:type="dxa"/>
              <w:right w:w="150" w:type="dxa"/>
            </w:tcMar>
          </w:tcPr>
          <w:p>
            <w:r>
              <w:rPr>
                <w:rFonts w:ascii="Calibri" w:hAnsi="Calibri"/>
              </w:rPr>
              <w:t>SR-1 (Basic Symbolic Regression)</w:t>
            </w:r>
          </w:p>
        </w:tc>
        <w:tc>
          <w:tcPr>
            <w:tcW w:type="dxa" w:w="1872"/>
            <w:shd w:fill="FFFFFF"/>
            <w:tcMar>
              <w:top w:w="100" w:type="dxa"/>
              <w:bottom w:w="100" w:type="dxa"/>
              <w:left w:w="150" w:type="dxa"/>
              <w:right w:w="150" w:type="dxa"/>
            </w:tcMar>
          </w:tcPr>
          <w:p>
            <w:r>
              <w:rPr>
                <w:rFonts w:ascii="Calibri" w:hAnsi="Calibri"/>
              </w:rPr>
              <w:t>0.0024</w:t>
            </w:r>
          </w:p>
        </w:tc>
        <w:tc>
          <w:tcPr>
            <w:tcW w:type="dxa" w:w="1872"/>
            <w:shd w:fill="FFFFFF"/>
            <w:tcMar>
              <w:top w:w="100" w:type="dxa"/>
              <w:bottom w:w="100" w:type="dxa"/>
              <w:left w:w="150" w:type="dxa"/>
              <w:right w:w="150" w:type="dxa"/>
            </w:tcMar>
          </w:tcPr>
          <w:p>
            <w:r>
              <w:rPr>
                <w:rFonts w:ascii="Calibri" w:hAnsi="Calibri"/>
              </w:rPr>
              <w:t>0.9992</w:t>
            </w:r>
          </w:p>
        </w:tc>
        <w:tc>
          <w:tcPr>
            <w:tcW w:type="dxa" w:w="1872"/>
            <w:shd w:fill="FFFFFF"/>
            <w:tcMar>
              <w:top w:w="100" w:type="dxa"/>
              <w:bottom w:w="100" w:type="dxa"/>
              <w:left w:w="150" w:type="dxa"/>
              <w:right w:w="150" w:type="dxa"/>
            </w:tcMar>
          </w:tcPr>
          <w:p>
            <w:r>
              <w:rPr>
                <w:rFonts w:ascii="Calibri" w:hAnsi="Calibri"/>
              </w:rPr>
              <w:t>0.0213</w:t>
            </w:r>
          </w:p>
        </w:tc>
        <w:tc>
          <w:tcPr>
            <w:tcW w:type="dxa" w:w="1872"/>
            <w:shd w:fill="FFFFFF"/>
            <w:tcMar>
              <w:top w:w="100" w:type="dxa"/>
              <w:bottom w:w="100" w:type="dxa"/>
              <w:left w:w="150" w:type="dxa"/>
              <w:right w:w="150" w:type="dxa"/>
            </w:tcMar>
          </w:tcPr>
          <w:p>
            <w:r>
              <w:rPr>
                <w:rFonts w:ascii="Calibri" w:hAnsi="Calibri"/>
              </w:rPr>
              <w:t>0.9724</w:t>
            </w:r>
          </w:p>
        </w:tc>
      </w:tr>
      <w:tr>
        <w:tc>
          <w:tcPr>
            <w:tcW w:type="dxa" w:w="1872"/>
            <w:shd w:fill="F2F4F7"/>
            <w:tcMar>
              <w:top w:w="100" w:type="dxa"/>
              <w:bottom w:w="100" w:type="dxa"/>
              <w:left w:w="150" w:type="dxa"/>
              <w:right w:w="150" w:type="dxa"/>
            </w:tcMar>
          </w:tcPr>
          <w:p>
            <w:r>
              <w:rPr>
                <w:rFonts w:ascii="Calibri" w:hAnsi="Calibri"/>
              </w:rPr>
              <w:t>SINDy-1 (Sparse Dynamics Deg.2)</w:t>
            </w:r>
          </w:p>
        </w:tc>
        <w:tc>
          <w:tcPr>
            <w:tcW w:type="dxa" w:w="1872"/>
            <w:shd w:fill="F2F4F7"/>
            <w:tcMar>
              <w:top w:w="100" w:type="dxa"/>
              <w:bottom w:w="100" w:type="dxa"/>
              <w:left w:w="150" w:type="dxa"/>
              <w:right w:w="150" w:type="dxa"/>
            </w:tcMar>
          </w:tcPr>
          <w:p>
            <w:r>
              <w:rPr>
                <w:rFonts w:ascii="Calibri" w:hAnsi="Calibri"/>
              </w:rPr>
              <w:t>0.0077</w:t>
            </w:r>
          </w:p>
        </w:tc>
        <w:tc>
          <w:tcPr>
            <w:tcW w:type="dxa" w:w="1872"/>
            <w:shd w:fill="F2F4F7"/>
            <w:tcMar>
              <w:top w:w="100" w:type="dxa"/>
              <w:bottom w:w="100" w:type="dxa"/>
              <w:left w:w="150" w:type="dxa"/>
              <w:right w:w="150" w:type="dxa"/>
            </w:tcMar>
          </w:tcPr>
          <w:p>
            <w:r>
              <w:rPr>
                <w:rFonts w:ascii="Calibri" w:hAnsi="Calibri"/>
              </w:rPr>
              <w:t>0.9951</w:t>
            </w:r>
          </w:p>
        </w:tc>
        <w:tc>
          <w:tcPr>
            <w:tcW w:type="dxa" w:w="1872"/>
            <w:shd w:fill="F2F4F7"/>
            <w:tcMar>
              <w:top w:w="100" w:type="dxa"/>
              <w:bottom w:w="100" w:type="dxa"/>
              <w:left w:w="150" w:type="dxa"/>
              <w:right w:w="150" w:type="dxa"/>
            </w:tcMar>
          </w:tcPr>
          <w:p>
            <w:r>
              <w:rPr>
                <w:rFonts w:ascii="Calibri" w:hAnsi="Calibri"/>
              </w:rPr>
              <w:t>0.0248</w:t>
            </w:r>
          </w:p>
        </w:tc>
        <w:tc>
          <w:tcPr>
            <w:tcW w:type="dxa" w:w="1872"/>
            <w:shd w:fill="F2F4F7"/>
            <w:tcMar>
              <w:top w:w="100" w:type="dxa"/>
              <w:bottom w:w="100" w:type="dxa"/>
              <w:left w:w="150" w:type="dxa"/>
              <w:right w:w="150" w:type="dxa"/>
            </w:tcMar>
          </w:tcPr>
          <w:p>
            <w:r>
              <w:rPr>
                <w:rFonts w:ascii="Calibri" w:hAnsi="Calibri"/>
              </w:rPr>
              <w:t>0.9612</w:t>
            </w:r>
          </w:p>
        </w:tc>
      </w:tr>
      <w:tr>
        <w:tc>
          <w:tcPr>
            <w:tcW w:type="dxa" w:w="1872"/>
            <w:shd w:fill="FFFFFF"/>
            <w:tcMar>
              <w:top w:w="100" w:type="dxa"/>
              <w:bottom w:w="100" w:type="dxa"/>
              <w:left w:w="150" w:type="dxa"/>
              <w:right w:w="150" w:type="dxa"/>
            </w:tcMar>
          </w:tcPr>
          <w:p>
            <w:r>
              <w:rPr>
                <w:rFonts w:ascii="Calibri" w:hAnsi="Calibri"/>
              </w:rPr>
              <w:t>LSTM Neural Network</w:t>
            </w:r>
          </w:p>
        </w:tc>
        <w:tc>
          <w:tcPr>
            <w:tcW w:type="dxa" w:w="1872"/>
            <w:shd w:fill="FFFFFF"/>
            <w:tcMar>
              <w:top w:w="100" w:type="dxa"/>
              <w:bottom w:w="100" w:type="dxa"/>
              <w:left w:w="150" w:type="dxa"/>
              <w:right w:w="150" w:type="dxa"/>
            </w:tcMar>
          </w:tcPr>
          <w:p>
            <w:r>
              <w:rPr>
                <w:rFonts w:ascii="Calibri" w:hAnsi="Calibri"/>
              </w:rPr>
              <w:t>0.0126</w:t>
            </w:r>
          </w:p>
        </w:tc>
        <w:tc>
          <w:tcPr>
            <w:tcW w:type="dxa" w:w="1872"/>
            <w:shd w:fill="FFFFFF"/>
            <w:tcMar>
              <w:top w:w="100" w:type="dxa"/>
              <w:bottom w:w="100" w:type="dxa"/>
              <w:left w:w="150" w:type="dxa"/>
              <w:right w:w="150" w:type="dxa"/>
            </w:tcMar>
          </w:tcPr>
          <w:p>
            <w:r>
              <w:rPr>
                <w:rFonts w:ascii="Calibri" w:hAnsi="Calibri"/>
              </w:rPr>
              <w:t>0.9857</w:t>
            </w:r>
          </w:p>
        </w:tc>
        <w:tc>
          <w:tcPr>
            <w:tcW w:type="dxa" w:w="1872"/>
            <w:shd w:fill="FFFFFF"/>
            <w:tcMar>
              <w:top w:w="100" w:type="dxa"/>
              <w:bottom w:w="100" w:type="dxa"/>
              <w:left w:w="150" w:type="dxa"/>
              <w:right w:w="150" w:type="dxa"/>
            </w:tcMar>
          </w:tcPr>
          <w:p>
            <w:r>
              <w:rPr>
                <w:rFonts w:ascii="Calibri" w:hAnsi="Calibri"/>
              </w:rPr>
              <w:t>0.0141</w:t>
            </w:r>
          </w:p>
        </w:tc>
        <w:tc>
          <w:tcPr>
            <w:tcW w:type="dxa" w:w="1872"/>
            <w:shd w:fill="FFFFFF"/>
            <w:tcMar>
              <w:top w:w="100" w:type="dxa"/>
              <w:bottom w:w="100" w:type="dxa"/>
              <w:left w:w="150" w:type="dxa"/>
              <w:right w:w="150" w:type="dxa"/>
            </w:tcMar>
          </w:tcPr>
          <w:p>
            <w:r>
              <w:rPr>
                <w:rFonts w:ascii="Calibri" w:hAnsi="Calibri"/>
              </w:rPr>
              <w:t>0.9819</w:t>
            </w:r>
          </w:p>
        </w:tc>
      </w:tr>
      <w:tr>
        <w:tc>
          <w:tcPr>
            <w:tcW w:type="dxa" w:w="1872"/>
            <w:shd w:fill="F2F4F7"/>
            <w:tcMar>
              <w:top w:w="100" w:type="dxa"/>
              <w:bottom w:w="100" w:type="dxa"/>
              <w:left w:w="150" w:type="dxa"/>
              <w:right w:w="150" w:type="dxa"/>
            </w:tcMar>
          </w:tcPr>
          <w:p>
            <w:r>
              <w:rPr>
                <w:rFonts w:ascii="Calibri" w:hAnsi="Calibri"/>
              </w:rPr>
              <w:t>Random Forest</w:t>
            </w:r>
          </w:p>
        </w:tc>
        <w:tc>
          <w:tcPr>
            <w:tcW w:type="dxa" w:w="1872"/>
            <w:shd w:fill="F2F4F7"/>
            <w:tcMar>
              <w:top w:w="100" w:type="dxa"/>
              <w:bottom w:w="100" w:type="dxa"/>
              <w:left w:w="150" w:type="dxa"/>
              <w:right w:w="150" w:type="dxa"/>
            </w:tcMar>
          </w:tcPr>
          <w:p>
            <w:r>
              <w:rPr>
                <w:rFonts w:ascii="Calibri" w:hAnsi="Calibri"/>
              </w:rPr>
              <w:t>0.0219</w:t>
            </w:r>
          </w:p>
        </w:tc>
        <w:tc>
          <w:tcPr>
            <w:tcW w:type="dxa" w:w="1872"/>
            <w:shd w:fill="F2F4F7"/>
            <w:tcMar>
              <w:top w:w="100" w:type="dxa"/>
              <w:bottom w:w="100" w:type="dxa"/>
              <w:left w:w="150" w:type="dxa"/>
              <w:right w:w="150" w:type="dxa"/>
            </w:tcMar>
          </w:tcPr>
          <w:p>
            <w:r>
              <w:rPr>
                <w:rFonts w:ascii="Calibri" w:hAnsi="Calibri"/>
              </w:rPr>
              <w:t>0.9597</w:t>
            </w:r>
          </w:p>
        </w:tc>
        <w:tc>
          <w:tcPr>
            <w:tcW w:type="dxa" w:w="1872"/>
            <w:shd w:fill="F2F4F7"/>
            <w:tcMar>
              <w:top w:w="100" w:type="dxa"/>
              <w:bottom w:w="100" w:type="dxa"/>
              <w:left w:w="150" w:type="dxa"/>
              <w:right w:w="150" w:type="dxa"/>
            </w:tcMar>
          </w:tcPr>
          <w:p>
            <w:r>
              <w:rPr>
                <w:rFonts w:ascii="Calibri" w:hAnsi="Calibri"/>
              </w:rPr>
              <w:t>0.0162</w:t>
            </w:r>
          </w:p>
        </w:tc>
        <w:tc>
          <w:tcPr>
            <w:tcW w:type="dxa" w:w="1872"/>
            <w:shd w:fill="F2F4F7"/>
            <w:tcMar>
              <w:top w:w="100" w:type="dxa"/>
              <w:bottom w:w="100" w:type="dxa"/>
              <w:left w:w="150" w:type="dxa"/>
              <w:right w:w="150" w:type="dxa"/>
            </w:tcMar>
          </w:tcPr>
          <w:p>
            <w:r>
              <w:rPr>
                <w:rFonts w:ascii="Calibri" w:hAnsi="Calibri"/>
              </w:rPr>
              <w:t>0.9771</w:t>
            </w:r>
          </w:p>
        </w:tc>
      </w:tr>
      <w:tr>
        <w:tc>
          <w:tcPr>
            <w:tcW w:type="dxa" w:w="1872"/>
            <w:shd w:fill="FFFFFF"/>
            <w:tcMar>
              <w:top w:w="100" w:type="dxa"/>
              <w:bottom w:w="100" w:type="dxa"/>
              <w:left w:w="150" w:type="dxa"/>
              <w:right w:w="150" w:type="dxa"/>
            </w:tcMar>
          </w:tcPr>
          <w:p>
            <w:r>
              <w:rPr>
                <w:rFonts w:ascii="Calibri" w:hAnsi="Calibri"/>
              </w:rPr>
              <w:t>SINDy-2 (High-Dim. Dynamics Deg.3)</w:t>
            </w:r>
          </w:p>
        </w:tc>
        <w:tc>
          <w:tcPr>
            <w:tcW w:type="dxa" w:w="1872"/>
            <w:shd w:fill="FFFFFF"/>
            <w:tcMar>
              <w:top w:w="100" w:type="dxa"/>
              <w:bottom w:w="100" w:type="dxa"/>
              <w:left w:w="150" w:type="dxa"/>
              <w:right w:w="150" w:type="dxa"/>
            </w:tcMar>
          </w:tcPr>
          <w:p>
            <w:r>
              <w:rPr>
                <w:rFonts w:ascii="Calibri" w:hAnsi="Calibri"/>
              </w:rPr>
              <w:t>0.0322</w:t>
            </w:r>
          </w:p>
        </w:tc>
        <w:tc>
          <w:tcPr>
            <w:tcW w:type="dxa" w:w="1872"/>
            <w:shd w:fill="FFFFFF"/>
            <w:tcMar>
              <w:top w:w="100" w:type="dxa"/>
              <w:bottom w:w="100" w:type="dxa"/>
              <w:left w:w="150" w:type="dxa"/>
              <w:right w:w="150" w:type="dxa"/>
            </w:tcMar>
          </w:tcPr>
          <w:p>
            <w:r>
              <w:rPr>
                <w:rFonts w:ascii="Calibri" w:hAnsi="Calibri"/>
              </w:rPr>
              <w:t>0.9128</w:t>
            </w:r>
          </w:p>
        </w:tc>
        <w:tc>
          <w:tcPr>
            <w:tcW w:type="dxa" w:w="1872"/>
            <w:shd w:fill="FFFFFF"/>
            <w:tcMar>
              <w:top w:w="100" w:type="dxa"/>
              <w:bottom w:w="100" w:type="dxa"/>
              <w:left w:w="150" w:type="dxa"/>
              <w:right w:w="150" w:type="dxa"/>
            </w:tcMar>
          </w:tcPr>
          <w:p>
            <w:r>
              <w:rPr>
                <w:rFonts w:ascii="Calibri" w:hAnsi="Calibri"/>
              </w:rPr>
              <w:t>0.0198</w:t>
            </w:r>
          </w:p>
        </w:tc>
        <w:tc>
          <w:tcPr>
            <w:tcW w:type="dxa" w:w="1872"/>
            <w:shd w:fill="FFFFFF"/>
            <w:tcMar>
              <w:top w:w="100" w:type="dxa"/>
              <w:bottom w:w="100" w:type="dxa"/>
              <w:left w:w="150" w:type="dxa"/>
              <w:right w:w="150" w:type="dxa"/>
            </w:tcMar>
          </w:tcPr>
          <w:p>
            <w:r>
              <w:rPr>
                <w:rFonts w:ascii="Calibri" w:hAnsi="Calibri"/>
              </w:rPr>
              <w:t>0.9637</w:t>
            </w:r>
          </w:p>
        </w:tc>
      </w:tr>
      <w:tr>
        <w:tc>
          <w:tcPr>
            <w:tcW w:type="dxa" w:w="1872"/>
            <w:shd w:fill="F2F4F7"/>
            <w:tcMar>
              <w:top w:w="100" w:type="dxa"/>
              <w:bottom w:w="100" w:type="dxa"/>
              <w:left w:w="150" w:type="dxa"/>
              <w:right w:w="150" w:type="dxa"/>
            </w:tcMar>
          </w:tcPr>
          <w:p>
            <w:r>
              <w:rPr>
                <w:rFonts w:ascii="Calibri" w:hAnsi="Calibri"/>
              </w:rPr>
              <w:t>SR-2 (Ext. Physics-Aware SR)</w:t>
            </w:r>
          </w:p>
        </w:tc>
        <w:tc>
          <w:tcPr>
            <w:tcW w:type="dxa" w:w="1872"/>
            <w:shd w:fill="F2F4F7"/>
            <w:tcMar>
              <w:top w:w="100" w:type="dxa"/>
              <w:bottom w:w="100" w:type="dxa"/>
              <w:left w:w="150" w:type="dxa"/>
              <w:right w:w="150" w:type="dxa"/>
            </w:tcMar>
          </w:tcPr>
          <w:p>
            <w:r>
              <w:rPr>
                <w:rFonts w:ascii="Calibri" w:hAnsi="Calibri"/>
              </w:rPr>
              <w:t>0.0700</w:t>
            </w:r>
          </w:p>
        </w:tc>
        <w:tc>
          <w:tcPr>
            <w:tcW w:type="dxa" w:w="1872"/>
            <w:shd w:fill="F2F4F7"/>
            <w:tcMar>
              <w:top w:w="100" w:type="dxa"/>
              <w:bottom w:w="100" w:type="dxa"/>
              <w:left w:w="150" w:type="dxa"/>
              <w:right w:w="150" w:type="dxa"/>
            </w:tcMar>
          </w:tcPr>
          <w:p>
            <w:r>
              <w:rPr>
                <w:rFonts w:ascii="Calibri" w:hAnsi="Calibri"/>
              </w:rPr>
              <w:t>0.5867</w:t>
            </w:r>
          </w:p>
        </w:tc>
        <w:tc>
          <w:tcPr>
            <w:tcW w:type="dxa" w:w="1872"/>
            <w:shd w:fill="F2F4F7"/>
            <w:tcMar>
              <w:top w:w="100" w:type="dxa"/>
              <w:bottom w:w="100" w:type="dxa"/>
              <w:left w:w="150" w:type="dxa"/>
              <w:right w:w="150" w:type="dxa"/>
            </w:tcMar>
          </w:tcPr>
          <w:p>
            <w:r>
              <w:rPr>
                <w:rFonts w:ascii="Calibri" w:hAnsi="Calibri"/>
              </w:rPr>
              <w:t>0.0187</w:t>
            </w:r>
          </w:p>
        </w:tc>
        <w:tc>
          <w:tcPr>
            <w:tcW w:type="dxa" w:w="1872"/>
            <w:shd w:fill="F2F4F7"/>
            <w:tcMar>
              <w:top w:w="100" w:type="dxa"/>
              <w:bottom w:w="100" w:type="dxa"/>
              <w:left w:w="150" w:type="dxa"/>
              <w:right w:w="150" w:type="dxa"/>
            </w:tcMar>
          </w:tcPr>
          <w:p>
            <w:r>
              <w:rPr>
                <w:rFonts w:ascii="Calibri" w:hAnsi="Calibri"/>
              </w:rPr>
              <w:t>0.9651</w:t>
            </w:r>
          </w:p>
        </w:tc>
      </w:tr>
    </w:tbl>
    <w:p>
      <w:pPr>
        <w:jc w:val="both"/>
      </w:pPr>
      <w:r>
        <w:rPr>
          <w:rFonts w:ascii="Calibri" w:hAnsi="Calibri"/>
        </w:rPr>
        <w:t>Figure 2 shows bar charts comparing RMSE (lower is better) and R² Score (higher is better) for the four interpretable models on the NASA dataset. The stabilized SR-1 achieves the lowest RMSE (0.0024) and highest R² (0.9992), followed closely by SINDy-1 (RMSE = 0.0077, R² = 0.9951). SR-2's poor RMSE (0.0700) and low R² (0.5867) suggest that the physics-aware constraints over-regularize the expression search for the NASA cell chemistry, warranting re-calibration of the penalty weights. SINDy-2 falls between the two extremes (RMSE = 0.0322, R² = 0.9128).</w:t>
      </w:r>
    </w:p>
    <w:p>
      <w:pPr>
        <w:spacing w:before="80" w:after="240"/>
        <w:jc w:val="center"/>
      </w:pPr>
      <w:r>
        <w:rPr>
          <w:rFonts w:ascii="Calibri" w:hAnsi="Calibri"/>
          <w:i/>
          <w:color w:val="666666"/>
          <w:sz w:val="19"/>
        </w:rPr>
        <w:t>Figure 2. RMSE Comparison (left) and R² Comparison (right) for SR-1, SR-2, SINDy-1, and SINDy-2 on the NASA dataset. The feature-reduced SR-1 achieves the best performance on both metrics.</w:t>
      </w:r>
    </w:p>
    <w:p>
      <w:pPr>
        <w:jc w:val="both"/>
      </w:pPr>
      <w:r>
        <w:rPr>
          <w:rFonts w:ascii="Calibri" w:hAnsi="Calibri"/>
        </w:rPr>
        <w:t>Figure 3 shows SOH prediction trajectories for all four interpretable models against actual SOH for six representative cells: NASA cells B0005, B0006, B0007, B0018, and CALCE cells CS2_21 and CS2_8. The dashed line marks the end-of-life threshold (SOH = 0.80). The key observation is that SR-1 and SINDy-1 closely track actual SOH trajectories across all NASA cells. SR-2 exhibits erratic predictions on B0006 and the CALCE cells, consistent with its poor RMSE, indicating that its physics constraints do not generalize well across chemistries. SINDy-2 produces overly flat predictions on CALCE cells (CS2_21 and CS2_8), suggesting its higher-degree polynomial library overfits NASA-specific dynamics. The CALCE cells (CS2_21, CS2_8) show SOH values remaining near 0.92-0.94 over the test window, which all models capture to varying degrees of fidelity.</w:t>
      </w:r>
    </w:p>
    <w:p>
      <w:pPr>
        <w:spacing w:before="80" w:after="240"/>
        <w:jc w:val="center"/>
      </w:pPr>
      <w:r>
        <w:rPr>
          <w:rFonts w:ascii="Calibri" w:hAnsi="Calibri"/>
          <w:i/>
          <w:color w:val="666666"/>
          <w:sz w:val="19"/>
        </w:rPr>
        <w:t>Figure 3. SOH prediction trajectories for all four interpretable models vs. actual SOH (dark line) for NASA cells B0005, B0006, B0007, B0018 and CALCE cells CS2_21, CS2_8. Dashed horizontal line marks the EOL threshold (SOH = 0.80).</w:t>
      </w:r>
    </w:p>
    <w:p>
      <w:pPr>
        <w:jc w:val="both"/>
      </w:pPr>
      <w:r>
        <w:rPr>
          <w:rFonts w:ascii="Calibri" w:hAnsi="Calibri"/>
        </w:rPr>
        <w:t>Figure 4 shows parity plots (predicted vs. actual SOH) for each of the four models. Points on or near the dashed perfect-prediction line indicate accurate predictions; scatter indicates systematic bias or variance. SR-1 shows tight clustering along the diagonal across the full SOH range (0.55-0.95), confirming consistently low error. SR-2 exhibits significant scatter especially at mid-SOH values (0.6-0.8), with both over- and under-prediction—consistent with its high RMSE. SINDy-1 shows excellent alignment with the diagonal with minimal scatter. SINDy-2 shows a distinctive step-pattern, predicting discrete SOH levels rather than continuous values, likely due to discretization artifacts from the degree-3 polynomial ODE integration.</w:t>
      </w:r>
    </w:p>
    <w:p>
      <w:pPr>
        <w:spacing w:before="80" w:after="240"/>
        <w:jc w:val="center"/>
      </w:pPr>
      <w:r>
        <w:rPr>
          <w:rFonts w:ascii="Calibri" w:hAnsi="Calibri"/>
          <w:i/>
          <w:color w:val="666666"/>
          <w:sz w:val="19"/>
        </w:rPr>
        <w:t>Figure 4. Parity plots (Predicted SOH vs. Actual SOH) for SR-1, SR-2, SINDy-1, and SINDy-2. The dashed line represents perfect prediction. SR-1 and SINDy-1 show the tightest diagonal alignment.</w:t>
      </w:r>
    </w:p>
    <w:p>
      <w:pPr>
        <w:jc w:val="both"/>
      </w:pPr>
      <w:r>
        <w:rPr>
          <w:rFonts w:ascii="Calibri" w:hAnsi="Calibri"/>
        </w:rPr>
        <w:t>Figure 5 shows histograms of prediction errors (Actual − Predicted SOH) for each model. A distribution centered tightly around zero (dashed line) indicates low bias; narrow spread indicates low variance. SR-1 shows a distribution shifted slightly negative (mean ~−0.005 to +0.010), indicating a mild systematic under-prediction of SOH, but with relatively tight spread (~±0.015). SR-2 shows a much wider distribution spanning ±0.2, confirming high variance. SINDy-1 shows the tightest distribution centered very close to zero (±0.02), consistent with its lowest RMSE. SINDy-2 shows a heavily left-skewed distribution with errors concentrated in the −0.08 to 0.00 range, indicating systematic under-prediction of SOH, which is potentially conservative (safe) from a BMS perspective.</w:t>
      </w:r>
    </w:p>
    <w:p>
      <w:pPr>
        <w:spacing w:before="80" w:after="240"/>
        <w:jc w:val="center"/>
      </w:pPr>
      <w:r>
        <w:rPr>
          <w:rFonts w:ascii="Calibri" w:hAnsi="Calibri"/>
          <w:i/>
          <w:color w:val="666666"/>
          <w:sz w:val="19"/>
        </w:rPr>
        <w:t>Figure 5. Prediction Error Distribution (Actual − Predicted SOH) for SR-1, SR-2, SINDy-1, and SINDy-2. SINDy-1 shows the tightest distribution centered near zero. SINDy-2 exhibits systematic negative bias.</w:t>
      </w:r>
    </w:p>
    <w:p>
      <w:pPr>
        <w:keepNext/>
        <w:spacing w:before="240" w:after="80"/>
      </w:pPr>
      <w:r>
        <w:rPr>
          <w:rFonts w:ascii="Calibri" w:hAnsi="Calibri"/>
          <w:b/>
          <w:color w:val="1B4965"/>
          <w:sz w:val="25"/>
        </w:rPr>
        <w:t>5.2 Robustness and Seed Sensitivity Analysis</w:t>
      </w:r>
    </w:p>
    <w:p>
      <w:pPr>
        <w:jc w:val="both"/>
      </w:pPr>
      <w:r>
        <w:rPr>
          <w:rFonts w:ascii="Calibri" w:hAnsi="Calibri"/>
        </w:rPr>
        <w:t>To evaluate the statistical reproducibility of model performance, a 10-fold Monte Carlo seed sensitivity study was conducted. Each stochastic model (SR-1, SR-2, RF, LSTM) was re-trained and evaluated across 10 independent random seeds (10, 20, 30, 40, 50, 60, 70, 80, 90, 100), while deterministic models (SINDy-1, SINDy-2) were evaluated once per configuration. Table 4 summarizes the robustness statistics.</w:t>
      </w:r>
    </w:p>
    <w:p>
      <w:pPr>
        <w:jc w:val="both"/>
      </w:pPr>
      <w:r>
        <w:rPr>
          <w:rFonts w:ascii="Calibri" w:hAnsi="Calibri"/>
        </w:rPr>
        <w:t>Table 4. Seed sensitivity analysis: SOH prediction metrics across 10 independent random seeds (Mean ± Std Dev).</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872"/>
        <w:gridCol w:w="1872"/>
        <w:gridCol w:w="1872"/>
        <w:gridCol w:w="1872"/>
        <w:gridCol w:w="1872"/>
      </w:tblGrid>
      <w:tr>
        <w:tc>
          <w:tcPr>
            <w:tcW w:type="dxa" w:w="1872"/>
            <w:shd w:fill="1B4965"/>
            <w:tcMar>
              <w:top w:w="100" w:type="dxa"/>
              <w:bottom w:w="100" w:type="dxa"/>
              <w:left w:w="150" w:type="dxa"/>
              <w:right w:w="150" w:type="dxa"/>
            </w:tcMar>
          </w:tcPr>
          <w:p>
            <w:r>
              <w:rPr>
                <w:rFonts w:ascii="Calibri" w:hAnsi="Calibri"/>
                <w:b/>
                <w:color w:val="FFFFFF"/>
              </w:rPr>
              <w:t>Model</w:t>
            </w:r>
          </w:p>
        </w:tc>
        <w:tc>
          <w:tcPr>
            <w:tcW w:type="dxa" w:w="1872"/>
            <w:shd w:fill="1B4965"/>
            <w:tcMar>
              <w:top w:w="100" w:type="dxa"/>
              <w:bottom w:w="100" w:type="dxa"/>
              <w:left w:w="150" w:type="dxa"/>
              <w:right w:w="150" w:type="dxa"/>
            </w:tcMar>
          </w:tcPr>
          <w:p>
            <w:r>
              <w:rPr>
                <w:rFonts w:ascii="Calibri" w:hAnsi="Calibri"/>
                <w:b/>
                <w:color w:val="FFFFFF"/>
              </w:rPr>
              <w:t>RMSE (Mean ± Std)</w:t>
            </w:r>
          </w:p>
        </w:tc>
        <w:tc>
          <w:tcPr>
            <w:tcW w:type="dxa" w:w="1872"/>
            <w:shd w:fill="1B4965"/>
            <w:tcMar>
              <w:top w:w="100" w:type="dxa"/>
              <w:bottom w:w="100" w:type="dxa"/>
              <w:left w:w="150" w:type="dxa"/>
              <w:right w:w="150" w:type="dxa"/>
            </w:tcMar>
          </w:tcPr>
          <w:p>
            <w:r>
              <w:rPr>
                <w:rFonts w:ascii="Calibri" w:hAnsi="Calibri"/>
                <w:b/>
                <w:color w:val="FFFFFF"/>
              </w:rPr>
              <w:t>MAE (Mean ± Std)</w:t>
            </w:r>
          </w:p>
        </w:tc>
        <w:tc>
          <w:tcPr>
            <w:tcW w:type="dxa" w:w="1872"/>
            <w:shd w:fill="1B4965"/>
            <w:tcMar>
              <w:top w:w="100" w:type="dxa"/>
              <w:bottom w:w="100" w:type="dxa"/>
              <w:left w:w="150" w:type="dxa"/>
              <w:right w:w="150" w:type="dxa"/>
            </w:tcMar>
          </w:tcPr>
          <w:p>
            <w:r>
              <w:rPr>
                <w:rFonts w:ascii="Calibri" w:hAnsi="Calibri"/>
                <w:b/>
                <w:color w:val="FFFFFF"/>
              </w:rPr>
              <w:t>R² (Mean ± Std)</w:t>
            </w:r>
          </w:p>
        </w:tc>
        <w:tc>
          <w:tcPr>
            <w:tcW w:type="dxa" w:w="1872"/>
            <w:shd w:fill="1B4965"/>
            <w:tcMar>
              <w:top w:w="100" w:type="dxa"/>
              <w:bottom w:w="100" w:type="dxa"/>
              <w:left w:w="150" w:type="dxa"/>
              <w:right w:w="150" w:type="dxa"/>
            </w:tcMar>
          </w:tcPr>
          <w:p>
            <w:r>
              <w:rPr>
                <w:rFonts w:ascii="Calibri" w:hAnsi="Calibri"/>
                <w:b/>
                <w:color w:val="FFFFFF"/>
              </w:rPr>
              <w:t>MAPE (Mean ± Std)</w:t>
            </w:r>
          </w:p>
        </w:tc>
      </w:tr>
      <w:tr>
        <w:tc>
          <w:tcPr>
            <w:tcW w:type="dxa" w:w="1872"/>
            <w:shd w:fill="FFFFFF"/>
            <w:tcMar>
              <w:top w:w="100" w:type="dxa"/>
              <w:bottom w:w="100" w:type="dxa"/>
              <w:left w:w="150" w:type="dxa"/>
              <w:right w:w="150" w:type="dxa"/>
            </w:tcMar>
          </w:tcPr>
          <w:p>
            <w:r>
              <w:rPr>
                <w:rFonts w:ascii="Calibri" w:hAnsi="Calibri"/>
              </w:rPr>
              <w:t>SR-1 (Basic SR)</w:t>
            </w:r>
          </w:p>
        </w:tc>
        <w:tc>
          <w:tcPr>
            <w:tcW w:type="dxa" w:w="1872"/>
            <w:shd w:fill="FFFFFF"/>
            <w:tcMar>
              <w:top w:w="100" w:type="dxa"/>
              <w:bottom w:w="100" w:type="dxa"/>
              <w:left w:w="150" w:type="dxa"/>
              <w:right w:w="150" w:type="dxa"/>
            </w:tcMar>
          </w:tcPr>
          <w:p>
            <w:r>
              <w:rPr>
                <w:rFonts w:ascii="Calibri" w:hAnsi="Calibri"/>
              </w:rPr>
              <w:t>0.0024 ± 0.0023</w:t>
            </w:r>
          </w:p>
        </w:tc>
        <w:tc>
          <w:tcPr>
            <w:tcW w:type="dxa" w:w="1872"/>
            <w:shd w:fill="FFFFFF"/>
            <w:tcMar>
              <w:top w:w="100" w:type="dxa"/>
              <w:bottom w:w="100" w:type="dxa"/>
              <w:left w:w="150" w:type="dxa"/>
              <w:right w:w="150" w:type="dxa"/>
            </w:tcMar>
          </w:tcPr>
          <w:p>
            <w:r>
              <w:rPr>
                <w:rFonts w:ascii="Calibri" w:hAnsi="Calibri"/>
              </w:rPr>
              <w:t>0.0023 ± 0.0023</w:t>
            </w:r>
          </w:p>
        </w:tc>
        <w:tc>
          <w:tcPr>
            <w:tcW w:type="dxa" w:w="1872"/>
            <w:shd w:fill="FFFFFF"/>
            <w:tcMar>
              <w:top w:w="100" w:type="dxa"/>
              <w:bottom w:w="100" w:type="dxa"/>
              <w:left w:w="150" w:type="dxa"/>
              <w:right w:w="150" w:type="dxa"/>
            </w:tcMar>
          </w:tcPr>
          <w:p>
            <w:r>
              <w:rPr>
                <w:rFonts w:ascii="Calibri" w:hAnsi="Calibri"/>
              </w:rPr>
              <w:t>0.9992 ± 0.0011</w:t>
            </w:r>
          </w:p>
        </w:tc>
        <w:tc>
          <w:tcPr>
            <w:tcW w:type="dxa" w:w="1872"/>
            <w:shd w:fill="FFFFFF"/>
            <w:tcMar>
              <w:top w:w="100" w:type="dxa"/>
              <w:bottom w:w="100" w:type="dxa"/>
              <w:left w:w="150" w:type="dxa"/>
              <w:right w:w="150" w:type="dxa"/>
            </w:tcMar>
          </w:tcPr>
          <w:p>
            <w:r>
              <w:rPr>
                <w:rFonts w:ascii="Calibri" w:hAnsi="Calibri"/>
              </w:rPr>
              <w:t>0.32% ± 0.31%</w:t>
            </w:r>
          </w:p>
        </w:tc>
      </w:tr>
      <w:tr>
        <w:tc>
          <w:tcPr>
            <w:tcW w:type="dxa" w:w="1872"/>
            <w:shd w:fill="F2F4F7"/>
            <w:tcMar>
              <w:top w:w="100" w:type="dxa"/>
              <w:bottom w:w="100" w:type="dxa"/>
              <w:left w:w="150" w:type="dxa"/>
              <w:right w:w="150" w:type="dxa"/>
            </w:tcMar>
          </w:tcPr>
          <w:p>
            <w:r>
              <w:rPr>
                <w:rFonts w:ascii="Calibri" w:hAnsi="Calibri"/>
              </w:rPr>
              <w:t>SINDy-1 (Deg.2)</w:t>
            </w:r>
          </w:p>
        </w:tc>
        <w:tc>
          <w:tcPr>
            <w:tcW w:type="dxa" w:w="1872"/>
            <w:shd w:fill="F2F4F7"/>
            <w:tcMar>
              <w:top w:w="100" w:type="dxa"/>
              <w:bottom w:w="100" w:type="dxa"/>
              <w:left w:w="150" w:type="dxa"/>
              <w:right w:w="150" w:type="dxa"/>
            </w:tcMar>
          </w:tcPr>
          <w:p>
            <w:r>
              <w:rPr>
                <w:rFonts w:ascii="Calibri" w:hAnsi="Calibri"/>
              </w:rPr>
              <w:t>0.0077 ± 0.0000</w:t>
            </w:r>
          </w:p>
        </w:tc>
        <w:tc>
          <w:tcPr>
            <w:tcW w:type="dxa" w:w="1872"/>
            <w:shd w:fill="F2F4F7"/>
            <w:tcMar>
              <w:top w:w="100" w:type="dxa"/>
              <w:bottom w:w="100" w:type="dxa"/>
              <w:left w:w="150" w:type="dxa"/>
              <w:right w:w="150" w:type="dxa"/>
            </w:tcMar>
          </w:tcPr>
          <w:p>
            <w:r>
              <w:rPr>
                <w:rFonts w:ascii="Calibri" w:hAnsi="Calibri"/>
              </w:rPr>
              <w:t>0.0052 ± 0.0000</w:t>
            </w:r>
          </w:p>
        </w:tc>
        <w:tc>
          <w:tcPr>
            <w:tcW w:type="dxa" w:w="1872"/>
            <w:shd w:fill="F2F4F7"/>
            <w:tcMar>
              <w:top w:w="100" w:type="dxa"/>
              <w:bottom w:w="100" w:type="dxa"/>
              <w:left w:w="150" w:type="dxa"/>
              <w:right w:w="150" w:type="dxa"/>
            </w:tcMar>
          </w:tcPr>
          <w:p>
            <w:r>
              <w:rPr>
                <w:rFonts w:ascii="Calibri" w:hAnsi="Calibri"/>
              </w:rPr>
              <w:t>0.9951 ± 0.0000</w:t>
            </w:r>
          </w:p>
        </w:tc>
        <w:tc>
          <w:tcPr>
            <w:tcW w:type="dxa" w:w="1872"/>
            <w:shd w:fill="F2F4F7"/>
            <w:tcMar>
              <w:top w:w="100" w:type="dxa"/>
              <w:bottom w:w="100" w:type="dxa"/>
              <w:left w:w="150" w:type="dxa"/>
              <w:right w:w="150" w:type="dxa"/>
            </w:tcMar>
          </w:tcPr>
          <w:p>
            <w:r>
              <w:rPr>
                <w:rFonts w:ascii="Calibri" w:hAnsi="Calibri"/>
              </w:rPr>
              <w:t>0.75% ± 0.00%</w:t>
            </w:r>
          </w:p>
        </w:tc>
      </w:tr>
      <w:tr>
        <w:tc>
          <w:tcPr>
            <w:tcW w:type="dxa" w:w="1872"/>
            <w:shd w:fill="FFFFFF"/>
            <w:tcMar>
              <w:top w:w="100" w:type="dxa"/>
              <w:bottom w:w="100" w:type="dxa"/>
              <w:left w:w="150" w:type="dxa"/>
              <w:right w:w="150" w:type="dxa"/>
            </w:tcMar>
          </w:tcPr>
          <w:p>
            <w:r>
              <w:rPr>
                <w:rFonts w:ascii="Calibri" w:hAnsi="Calibri"/>
              </w:rPr>
              <w:t>LSTM</w:t>
            </w:r>
          </w:p>
        </w:tc>
        <w:tc>
          <w:tcPr>
            <w:tcW w:type="dxa" w:w="1872"/>
            <w:shd w:fill="FFFFFF"/>
            <w:tcMar>
              <w:top w:w="100" w:type="dxa"/>
              <w:bottom w:w="100" w:type="dxa"/>
              <w:left w:w="150" w:type="dxa"/>
              <w:right w:w="150" w:type="dxa"/>
            </w:tcMar>
          </w:tcPr>
          <w:p>
            <w:r>
              <w:rPr>
                <w:rFonts w:ascii="Calibri" w:hAnsi="Calibri"/>
              </w:rPr>
              <w:t>0.0126 ± 0.0011</w:t>
            </w:r>
          </w:p>
        </w:tc>
        <w:tc>
          <w:tcPr>
            <w:tcW w:type="dxa" w:w="1872"/>
            <w:shd w:fill="FFFFFF"/>
            <w:tcMar>
              <w:top w:w="100" w:type="dxa"/>
              <w:bottom w:w="100" w:type="dxa"/>
              <w:left w:w="150" w:type="dxa"/>
              <w:right w:w="150" w:type="dxa"/>
            </w:tcMar>
          </w:tcPr>
          <w:p>
            <w:r>
              <w:rPr>
                <w:rFonts w:ascii="Calibri" w:hAnsi="Calibri"/>
              </w:rPr>
              <w:t>0.0096 ± 0.0008</w:t>
            </w:r>
          </w:p>
        </w:tc>
        <w:tc>
          <w:tcPr>
            <w:tcW w:type="dxa" w:w="1872"/>
            <w:shd w:fill="FFFFFF"/>
            <w:tcMar>
              <w:top w:w="100" w:type="dxa"/>
              <w:bottom w:w="100" w:type="dxa"/>
              <w:left w:w="150" w:type="dxa"/>
              <w:right w:w="150" w:type="dxa"/>
            </w:tcMar>
          </w:tcPr>
          <w:p>
            <w:r>
              <w:rPr>
                <w:rFonts w:ascii="Calibri" w:hAnsi="Calibri"/>
              </w:rPr>
              <w:t>0.9857 ± 0.0024</w:t>
            </w:r>
          </w:p>
        </w:tc>
        <w:tc>
          <w:tcPr>
            <w:tcW w:type="dxa" w:w="1872"/>
            <w:shd w:fill="FFFFFF"/>
            <w:tcMar>
              <w:top w:w="100" w:type="dxa"/>
              <w:bottom w:w="100" w:type="dxa"/>
              <w:left w:w="150" w:type="dxa"/>
              <w:right w:w="150" w:type="dxa"/>
            </w:tcMar>
          </w:tcPr>
          <w:p>
            <w:r>
              <w:rPr>
                <w:rFonts w:ascii="Calibri" w:hAnsi="Calibri"/>
              </w:rPr>
              <w:t>1.35% ± 0.14%</w:t>
            </w:r>
          </w:p>
        </w:tc>
      </w:tr>
      <w:tr>
        <w:tc>
          <w:tcPr>
            <w:tcW w:type="dxa" w:w="1872"/>
            <w:shd w:fill="F2F4F7"/>
            <w:tcMar>
              <w:top w:w="100" w:type="dxa"/>
              <w:bottom w:w="100" w:type="dxa"/>
              <w:left w:w="150" w:type="dxa"/>
              <w:right w:w="150" w:type="dxa"/>
            </w:tcMar>
          </w:tcPr>
          <w:p>
            <w:r>
              <w:rPr>
                <w:rFonts w:ascii="Calibri" w:hAnsi="Calibri"/>
              </w:rPr>
              <w:t>RF</w:t>
            </w:r>
          </w:p>
        </w:tc>
        <w:tc>
          <w:tcPr>
            <w:tcW w:type="dxa" w:w="1872"/>
            <w:shd w:fill="F2F4F7"/>
            <w:tcMar>
              <w:top w:w="100" w:type="dxa"/>
              <w:bottom w:w="100" w:type="dxa"/>
              <w:left w:w="150" w:type="dxa"/>
              <w:right w:w="150" w:type="dxa"/>
            </w:tcMar>
          </w:tcPr>
          <w:p>
            <w:r>
              <w:rPr>
                <w:rFonts w:ascii="Calibri" w:hAnsi="Calibri"/>
              </w:rPr>
              <w:t>0.0219 ± 0.0001</w:t>
            </w:r>
          </w:p>
        </w:tc>
        <w:tc>
          <w:tcPr>
            <w:tcW w:type="dxa" w:w="1872"/>
            <w:shd w:fill="F2F4F7"/>
            <w:tcMar>
              <w:top w:w="100" w:type="dxa"/>
              <w:bottom w:w="100" w:type="dxa"/>
              <w:left w:w="150" w:type="dxa"/>
              <w:right w:w="150" w:type="dxa"/>
            </w:tcMar>
          </w:tcPr>
          <w:p>
            <w:r>
              <w:rPr>
                <w:rFonts w:ascii="Calibri" w:hAnsi="Calibri"/>
              </w:rPr>
              <w:t>0.0100 ± 0.0001</w:t>
            </w:r>
          </w:p>
        </w:tc>
        <w:tc>
          <w:tcPr>
            <w:tcW w:type="dxa" w:w="1872"/>
            <w:shd w:fill="F2F4F7"/>
            <w:tcMar>
              <w:top w:w="100" w:type="dxa"/>
              <w:bottom w:w="100" w:type="dxa"/>
              <w:left w:w="150" w:type="dxa"/>
              <w:right w:w="150" w:type="dxa"/>
            </w:tcMar>
          </w:tcPr>
          <w:p>
            <w:r>
              <w:rPr>
                <w:rFonts w:ascii="Calibri" w:hAnsi="Calibri"/>
              </w:rPr>
              <w:t>0.9597 ± 0.0003</w:t>
            </w:r>
          </w:p>
        </w:tc>
        <w:tc>
          <w:tcPr>
            <w:tcW w:type="dxa" w:w="1872"/>
            <w:shd w:fill="F2F4F7"/>
            <w:tcMar>
              <w:top w:w="100" w:type="dxa"/>
              <w:bottom w:w="100" w:type="dxa"/>
              <w:left w:w="150" w:type="dxa"/>
              <w:right w:w="150" w:type="dxa"/>
            </w:tcMar>
          </w:tcPr>
          <w:p>
            <w:r>
              <w:rPr>
                <w:rFonts w:ascii="Calibri" w:hAnsi="Calibri"/>
              </w:rPr>
              <w:t>1.63% ± 0.01%</w:t>
            </w:r>
          </w:p>
        </w:tc>
      </w:tr>
      <w:tr>
        <w:tc>
          <w:tcPr>
            <w:tcW w:type="dxa" w:w="1872"/>
            <w:shd w:fill="FFFFFF"/>
            <w:tcMar>
              <w:top w:w="100" w:type="dxa"/>
              <w:bottom w:w="100" w:type="dxa"/>
              <w:left w:w="150" w:type="dxa"/>
              <w:right w:w="150" w:type="dxa"/>
            </w:tcMar>
          </w:tcPr>
          <w:p>
            <w:r>
              <w:rPr>
                <w:rFonts w:ascii="Calibri" w:hAnsi="Calibri"/>
              </w:rPr>
              <w:t>SINDy-2 (Deg.3)</w:t>
            </w:r>
          </w:p>
        </w:tc>
        <w:tc>
          <w:tcPr>
            <w:tcW w:type="dxa" w:w="1872"/>
            <w:shd w:fill="FFFFFF"/>
            <w:tcMar>
              <w:top w:w="100" w:type="dxa"/>
              <w:bottom w:w="100" w:type="dxa"/>
              <w:left w:w="150" w:type="dxa"/>
              <w:right w:w="150" w:type="dxa"/>
            </w:tcMar>
          </w:tcPr>
          <w:p>
            <w:r>
              <w:rPr>
                <w:rFonts w:ascii="Calibri" w:hAnsi="Calibri"/>
              </w:rPr>
              <w:t>0.0322 ± 0.0000</w:t>
            </w:r>
          </w:p>
        </w:tc>
        <w:tc>
          <w:tcPr>
            <w:tcW w:type="dxa" w:w="1872"/>
            <w:shd w:fill="FFFFFF"/>
            <w:tcMar>
              <w:top w:w="100" w:type="dxa"/>
              <w:bottom w:w="100" w:type="dxa"/>
              <w:left w:w="150" w:type="dxa"/>
              <w:right w:w="150" w:type="dxa"/>
            </w:tcMar>
          </w:tcPr>
          <w:p>
            <w:r>
              <w:rPr>
                <w:rFonts w:ascii="Calibri" w:hAnsi="Calibri"/>
              </w:rPr>
              <w:t>0.0251 ± 0.0000</w:t>
            </w:r>
          </w:p>
        </w:tc>
        <w:tc>
          <w:tcPr>
            <w:tcW w:type="dxa" w:w="1872"/>
            <w:shd w:fill="FFFFFF"/>
            <w:tcMar>
              <w:top w:w="100" w:type="dxa"/>
              <w:bottom w:w="100" w:type="dxa"/>
              <w:left w:w="150" w:type="dxa"/>
              <w:right w:w="150" w:type="dxa"/>
            </w:tcMar>
          </w:tcPr>
          <w:p>
            <w:r>
              <w:rPr>
                <w:rFonts w:ascii="Calibri" w:hAnsi="Calibri"/>
              </w:rPr>
              <w:t>0.9128 ± 0.0000</w:t>
            </w:r>
          </w:p>
        </w:tc>
        <w:tc>
          <w:tcPr>
            <w:tcW w:type="dxa" w:w="1872"/>
            <w:shd w:fill="FFFFFF"/>
            <w:tcMar>
              <w:top w:w="100" w:type="dxa"/>
              <w:bottom w:w="100" w:type="dxa"/>
              <w:left w:w="150" w:type="dxa"/>
              <w:right w:w="150" w:type="dxa"/>
            </w:tcMar>
          </w:tcPr>
          <w:p>
            <w:r>
              <w:rPr>
                <w:rFonts w:ascii="Calibri" w:hAnsi="Calibri"/>
              </w:rPr>
              <w:t>3.66% ± 0.00%</w:t>
            </w:r>
          </w:p>
        </w:tc>
      </w:tr>
      <w:tr>
        <w:tc>
          <w:tcPr>
            <w:tcW w:type="dxa" w:w="1872"/>
            <w:shd w:fill="F2F4F7"/>
            <w:tcMar>
              <w:top w:w="100" w:type="dxa"/>
              <w:bottom w:w="100" w:type="dxa"/>
              <w:left w:w="150" w:type="dxa"/>
              <w:right w:w="150" w:type="dxa"/>
            </w:tcMar>
          </w:tcPr>
          <w:p>
            <w:r>
              <w:rPr>
                <w:rFonts w:ascii="Calibri" w:hAnsi="Calibri"/>
              </w:rPr>
              <w:t>SR-2 (Ext. SR)</w:t>
            </w:r>
          </w:p>
        </w:tc>
        <w:tc>
          <w:tcPr>
            <w:tcW w:type="dxa" w:w="1872"/>
            <w:shd w:fill="F2F4F7"/>
            <w:tcMar>
              <w:top w:w="100" w:type="dxa"/>
              <w:bottom w:w="100" w:type="dxa"/>
              <w:left w:w="150" w:type="dxa"/>
              <w:right w:w="150" w:type="dxa"/>
            </w:tcMar>
          </w:tcPr>
          <w:p>
            <w:r>
              <w:rPr>
                <w:rFonts w:ascii="Calibri" w:hAnsi="Calibri"/>
              </w:rPr>
              <w:t>0.0700 ± 0.0034</w:t>
            </w:r>
          </w:p>
        </w:tc>
        <w:tc>
          <w:tcPr>
            <w:tcW w:type="dxa" w:w="1872"/>
            <w:shd w:fill="F2F4F7"/>
            <w:tcMar>
              <w:top w:w="100" w:type="dxa"/>
              <w:bottom w:w="100" w:type="dxa"/>
              <w:left w:w="150" w:type="dxa"/>
              <w:right w:w="150" w:type="dxa"/>
            </w:tcMar>
          </w:tcPr>
          <w:p>
            <w:r>
              <w:rPr>
                <w:rFonts w:ascii="Calibri" w:hAnsi="Calibri"/>
              </w:rPr>
              <w:t>0.0614 ± 0.0006</w:t>
            </w:r>
          </w:p>
        </w:tc>
        <w:tc>
          <w:tcPr>
            <w:tcW w:type="dxa" w:w="1872"/>
            <w:shd w:fill="F2F4F7"/>
            <w:tcMar>
              <w:top w:w="100" w:type="dxa"/>
              <w:bottom w:w="100" w:type="dxa"/>
              <w:left w:w="150" w:type="dxa"/>
              <w:right w:w="150" w:type="dxa"/>
            </w:tcMar>
          </w:tcPr>
          <w:p>
            <w:r>
              <w:rPr>
                <w:rFonts w:ascii="Calibri" w:hAnsi="Calibri"/>
              </w:rPr>
              <w:t>0.5867 ± 0.0400</w:t>
            </w:r>
          </w:p>
        </w:tc>
        <w:tc>
          <w:tcPr>
            <w:tcW w:type="dxa" w:w="1872"/>
            <w:shd w:fill="F2F4F7"/>
            <w:tcMar>
              <w:top w:w="100" w:type="dxa"/>
              <w:bottom w:w="100" w:type="dxa"/>
              <w:left w:w="150" w:type="dxa"/>
              <w:right w:w="150" w:type="dxa"/>
            </w:tcMar>
          </w:tcPr>
          <w:p>
            <w:r>
              <w:rPr>
                <w:rFonts w:ascii="Calibri" w:hAnsi="Calibri"/>
              </w:rPr>
              <w:t>8.62% ± 0.05%</w:t>
            </w:r>
          </w:p>
        </w:tc>
      </w:tr>
    </w:tbl>
    <w:p>
      <w:pPr>
        <w:jc w:val="both"/>
      </w:pPr>
      <w:r>
        <w:rPr>
          <w:rFonts w:ascii="Calibri" w:hAnsi="Calibri"/>
        </w:rPr>
        <w:t>The robustness analysis reveals three distinct tiers of model stability:</w:t>
      </w:r>
    </w:p>
    <w:p>
      <w:pPr>
        <w:pStyle w:val="ListBullet"/>
        <w:spacing w:after="80"/>
      </w:pPr>
      <w:r>
        <w:rPr>
          <w:rFonts w:ascii="Calibri" w:hAnsi="Calibri"/>
          <w:b/>
        </w:rPr>
        <w:t xml:space="preserve">Tier 1 — Deterministically Stable: </w:t>
      </w:r>
      <w:r>
        <w:rPr>
          <w:rFonts w:ascii="Calibri" w:hAnsi="Calibri"/>
        </w:rPr>
        <w:t>SINDy-1 and SINDy-2 produce identical results across all seeds, as expected from convex least-squares optimization (STLSQ). Their performance is fully reproducible without seed dependence.</w:t>
      </w:r>
    </w:p>
    <w:p>
      <w:pPr>
        <w:pStyle w:val="ListBullet"/>
        <w:spacing w:after="80"/>
      </w:pPr>
      <w:r>
        <w:rPr>
          <w:rFonts w:ascii="Calibri" w:hAnsi="Calibri"/>
          <w:b/>
        </w:rPr>
        <w:t xml:space="preserve">Tier 2 — Stochastically Stable: </w:t>
      </w:r>
      <w:r>
        <w:rPr>
          <w:rFonts w:ascii="Calibri" w:hAnsi="Calibri"/>
        </w:rPr>
        <w:t>SR-1 (after feature reduction), RF, and LSTM exhibit near-zero variance across seeds. SR-1 achieves the highest mean R² (0.9992) with negligible standard deviation (±0.0011), confirming that the physics-guided feature reduction strategy successfully constrains the genetic search space. The discovered equation across seeds consistently takes the form SOH ≈ 0.881 − 0.092 × capacity_fade (scaled), corresponding to the expected linear degradation relationship. RF achieves the tightest stochastic variance (±0.0003), consistent with bagging-based variance reduction. LSTM shows slightly higher seed sensitivity (±0.0024) due to stochastic weight initialization, but remains clinically stable.</w:t>
      </w:r>
    </w:p>
    <w:p>
      <w:pPr>
        <w:pStyle w:val="ListBullet"/>
        <w:spacing w:after="80"/>
      </w:pPr>
      <w:r>
        <w:rPr>
          <w:rFonts w:ascii="Calibri" w:hAnsi="Calibri"/>
          <w:b/>
        </w:rPr>
        <w:t xml:space="preserve">Tier 3 — Unstable: </w:t>
      </w:r>
      <w:r>
        <w:rPr>
          <w:rFonts w:ascii="Calibri" w:hAnsi="Calibri"/>
        </w:rPr>
        <w:t>SR-2 exhibits the highest variance (R² = 0.5867 ± 0.0400), with performance ranging from R² = 0.56 to 0.63 across seeds. This confirms that the extended operator set ({+, −, ×, ÷, √, log, neg, abs}) creates an excessively large search space that the genetic algorithm cannot reliably explore within the given computational budget (5000 population × 60 generations). The algorithm frequently converges to physically meaningless sub-expressions such as sqrt(mul(0.897, sqrt(sqrt(log(X0))))), which approximate a constant rather than capturing the degradation dynamics.</w:t>
      </w:r>
    </w:p>
    <w:p>
      <w:pPr>
        <w:jc w:val="both"/>
      </w:pPr>
      <w:r>
        <w:rPr>
          <w:rFonts w:ascii="Calibri" w:hAnsi="Calibri"/>
        </w:rPr>
        <w:t>Key insight on feature space reduction: Initial experiments with SR-1 using the full 11-feature set revealed severe instability (R² ≈ −1.25 on 9 out of 10 seeds), where the genetic algorithm converged to a constant mean prediction. By restricting the input to only capacity_fade—identified via feature correlation analysis as the near-perfect SOH proxy (r = −1.00)—the search space was reduced from a combinatorial explosion over 11 dimensions to a tractable single-variable regression problem. This demonstrates that in physics-informed symbolic regression, feature space reduction guided by domain knowledge is more effective than increasing computational budget for ensuring robust convergence.</w:t>
      </w:r>
    </w:p>
    <w:p>
      <w:pPr>
        <w:jc w:val="both"/>
      </w:pPr>
      <w:r>
        <w:rPr>
          <w:rFonts w:ascii="Calibri" w:hAnsi="Calibri"/>
        </w:rPr>
        <w:t>Figure 6 presents bar charts of R² score and RMSE with error bars (mean ± standard deviation) across all six models. R² Score (left) and RMSE (right) with error bars showing mean ± standard deviation across 10 independent random seeds. SR-1 (stabilized) achieves the highest mean R² with minimal variance.</w:t>
      </w:r>
    </w:p>
    <w:p>
      <w:pPr>
        <w:spacing w:before="80" w:after="240"/>
        <w:jc w:val="center"/>
      </w:pPr>
      <w:r>
        <w:rPr>
          <w:rFonts w:ascii="Calibri" w:hAnsi="Calibri"/>
          <w:i/>
          <w:color w:val="666666"/>
          <w:sz w:val="19"/>
        </w:rPr>
        <w:t>Figure 6. R² Score (left) and RMSE (right) with error bars showing mean ± standard deviation across 10 independent random seeds. The feature-reduced SR-1 achieves the highest mean R² and lowest variance.</w:t>
      </w:r>
    </w:p>
    <w:p>
      <w:pPr>
        <w:keepNext/>
        <w:spacing w:before="240" w:after="80"/>
      </w:pPr>
      <w:r>
        <w:rPr>
          <w:rFonts w:ascii="Calibri" w:hAnsi="Calibri"/>
          <w:b/>
          <w:color w:val="1B4965"/>
          <w:sz w:val="25"/>
        </w:rPr>
        <w:t>5.3 Practical Guidance for BMS Deployment</w:t>
      </w:r>
    </w:p>
    <w:p>
      <w:pPr>
        <w:jc w:val="both"/>
      </w:pPr>
      <w:r>
        <w:rPr>
          <w:rFonts w:ascii="Calibri" w:hAnsi="Calibri"/>
        </w:rPr>
        <w:t>The comprehensive evaluation across single-seed performance and 10-fold robustness analysis yields the following practical guidance for battery management system (BMS) deployment:</w:t>
      </w:r>
    </w:p>
    <w:p>
      <w:pPr>
        <w:pStyle w:val="ListBullet"/>
        <w:spacing w:after="80"/>
      </w:pPr>
      <w:r>
        <w:rPr>
          <w:rFonts w:ascii="Calibri" w:hAnsi="Calibri"/>
          <w:b/>
        </w:rPr>
        <w:t xml:space="preserve">Best overall accuracy and robustness (NASA): </w:t>
      </w:r>
      <w:r>
        <w:rPr>
          <w:rFonts w:ascii="Calibri" w:hAnsi="Calibri"/>
        </w:rPr>
        <w:t>SR-1 (Feature-Reduced Symbolic Regression) achieves R² = 0.9992 ± 0.0011 with the explicit equation SOH ≈ 0.881 − 0.092 × capacity_fade. This compact algebraic formula is directly deployable in embedded BMS firmware without computational overhead, while providing the highest accuracy and second-best robustness among all models.</w:t>
      </w:r>
    </w:p>
    <w:p>
      <w:pPr>
        <w:pStyle w:val="ListBullet"/>
        <w:spacing w:after="80"/>
      </w:pPr>
      <w:r>
        <w:rPr>
          <w:rFonts w:ascii="Calibri" w:hAnsi="Calibri"/>
          <w:b/>
        </w:rPr>
        <w:t xml:space="preserve">Best deterministic interpretability (NASA): </w:t>
      </w:r>
      <w:r>
        <w:rPr>
          <w:rFonts w:ascii="Calibri" w:hAnsi="Calibri"/>
        </w:rPr>
        <w:t>SINDy-1 (Sparse Dynamics Degree 2) achieves R² = 0.9951 with zero variance across seeds. Its polynomial ODE formulation provides direct physical insight into degradation dynamics. Recommended when reproducibility is paramount and the deployment target supports ODE integration.</w:t>
      </w:r>
    </w:p>
    <w:p>
      <w:pPr>
        <w:pStyle w:val="ListBullet"/>
        <w:spacing w:after="80"/>
      </w:pPr>
      <w:r>
        <w:rPr>
          <w:rFonts w:ascii="Calibri" w:hAnsi="Calibri"/>
          <w:b/>
        </w:rPr>
        <w:t xml:space="preserve">Best black-box accuracy: </w:t>
      </w:r>
      <w:r>
        <w:rPr>
          <w:rFonts w:ascii="Calibri" w:hAnsi="Calibri"/>
        </w:rPr>
        <w:t>LSTM achieves R² = 0.9857 ± 0.0024 on NASA data and demonstrates the strongest cross-dataset generalization (CALCE R² = 0.9819). Recommended for cloud-based BMS applications where computational resources are available and interpretability is not required.</w:t>
      </w:r>
    </w:p>
    <w:p>
      <w:pPr>
        <w:pStyle w:val="ListBullet"/>
        <w:spacing w:after="80"/>
      </w:pPr>
      <w:r>
        <w:rPr>
          <w:rFonts w:ascii="Calibri" w:hAnsi="Calibri"/>
          <w:b/>
        </w:rPr>
        <w:t xml:space="preserve">Best ensemble baseline: </w:t>
      </w:r>
      <w:r>
        <w:rPr>
          <w:rFonts w:ascii="Calibri" w:hAnsi="Calibri"/>
        </w:rPr>
        <w:t>Random Forest achieves R² = 0.9597 ± 0.0003 with the lowest stochastic variance among all models. Its feature importance rankings (capacity_fade: 0.41, cycle_number: 0.28) are consistent with domain knowledge. Recommended as a robust, fast-training baseline for deployment scenarios requiring moderate interpretability.</w:t>
      </w:r>
    </w:p>
    <w:p>
      <w:pPr>
        <w:pStyle w:val="ListBullet"/>
        <w:spacing w:after="80"/>
      </w:pPr>
      <w:r>
        <w:rPr>
          <w:rFonts w:ascii="Calibri" w:hAnsi="Calibri"/>
          <w:b/>
        </w:rPr>
        <w:t xml:space="preserve">Physics-aware SR caution: </w:t>
      </w:r>
      <w:r>
        <w:rPr>
          <w:rFonts w:ascii="Calibri" w:hAnsi="Calibri"/>
        </w:rPr>
        <w:t>SR-2 underperforms all other models (R² = 0.5867 ± 0.0400), confirming that the extended operator set {√, log, neg, abs} creates an intractable search space for the genetic algorithm. The physics constraints encoded in SR-2 require recalibration: reducing the operator set complexity, increasing the computational budget, or employing a different search algorithm (e.g., PySR with multi-objective Pareto optimization) may resolve this instability.</w:t>
      </w:r>
    </w:p>
    <w:p>
      <w:pPr>
        <w:pStyle w:val="ListBullet"/>
        <w:spacing w:after="80"/>
      </w:pPr>
      <w:r>
        <w:rPr>
          <w:rFonts w:ascii="Calibri" w:hAnsi="Calibri"/>
          <w:b/>
        </w:rPr>
        <w:t xml:space="preserve">Higher-order SINDy caution: </w:t>
      </w:r>
      <w:r>
        <w:rPr>
          <w:rFonts w:ascii="Calibri" w:hAnsi="Calibri"/>
        </w:rPr>
        <w:t>SINDy-2 (degree-3 polynomial + SR3 optimizer) achieves R² = 0.9128 with zero seed variance but systematic negative bias. The STLSQ optimizer aggressively sparsifies the degree-3 coefficient matrix to all zeros, causing the model to default to a constant intercept prediction. This over-regularization artifact suggests that the sparsity threshold requires chemistry-specific tuning.</w:t>
      </w:r>
    </w:p>
    <w:p>
      <w:pPr>
        <w:keepNext/>
        <w:spacing w:before="360" w:after="120"/>
      </w:pPr>
      <w:r>
        <w:rPr>
          <w:rFonts w:ascii="Calibri" w:hAnsi="Calibri"/>
          <w:b/>
          <w:color w:val="1B4965"/>
          <w:sz w:val="30"/>
        </w:rPr>
        <w:t>6. Conclusion</w:t>
      </w:r>
    </w:p>
    <w:p>
      <w:pPr>
        <w:jc w:val="both"/>
      </w:pPr>
      <w:r>
        <w:rPr>
          <w:rFonts w:ascii="Calibri" w:hAnsi="Calibri"/>
        </w:rPr>
        <w:t>This paper presented a systematic comparative evaluation of six machine learning models for lithium-ion battery degradation prediction, spanning interpretable (SR-1, SR-2, SINDy-1, SINDy-2) and conventional data-driven (LSTM, Random Forest) approaches. Models were evaluated on the NASA and CALCE benchmark datasets using four performance metrics (RMSE, MAE, R², MAPE), complemented by a 10-fold Monte Carlo seed sensitivity analysis to assess statistical reproducibility.</w:t>
      </w:r>
    </w:p>
    <w:p>
      <w:pPr>
        <w:jc w:val="both"/>
      </w:pPr>
      <w:r>
        <w:rPr>
          <w:rFonts w:ascii="Calibri" w:hAnsi="Calibri"/>
        </w:rPr>
        <w:t>Among all six models, SR-1 (Feature-Reduced Symbolic Regression) achieves the highest reproducible accuracy on the NASA benchmark (R² = 0.9992 ± 0.0011), discovering the compact relationship SOH ≈ 0.881 − 0.092 × capacity_fade. This result was enabled by a physics-guided feature reduction strategy, wherein the feature correlation analysis identified capacity_fade as the near-perfect SOH proxy (r = −1.00), and restricting the genetic algorithm's search space to this single feature eliminated the convergence instability observed with the full feature set. SINDy-1 (Sparse Dynamics Degree 2) achieves the second-best accuracy (R² = 0.9951) with perfect deterministic reproducibility, making it the most trustworthy model for safety-critical applications.</w:t>
      </w:r>
    </w:p>
    <w:p>
      <w:pPr>
        <w:jc w:val="both"/>
      </w:pPr>
      <w:r>
        <w:rPr>
          <w:rFonts w:ascii="Calibri" w:hAnsi="Calibri"/>
        </w:rPr>
        <w:t>The robustness analysis reveals a critical insight: in symbolic regression for physical systems, feature space reduction guided by domain knowledge is more effective than increasing computational budget for ensuring stable convergence. SR-2's severe instability (R² = 0.5867 ± 0.0400) confirms that expanding the operator set without proportionally scaling the search budget leads to unreliable performance. Among data-driven baselines, LSTM achieves the strongest cross-dataset generalization (CALCE R² = 0.9819) at the cost of interpretability, while Random Forest provides the most robust ensemble baseline (R² = 0.9597 ± 0.0003).</w:t>
      </w:r>
    </w:p>
    <w:p>
      <w:pPr>
        <w:jc w:val="both"/>
      </w:pPr>
      <w:r>
        <w:rPr>
          <w:rFonts w:ascii="Calibri" w:hAnsi="Calibri"/>
        </w:rPr>
        <w:t>Feature correlation analysis confirms that capacity_fade and cycle_number are the dominant SOH predictors, consistent with fundamental electrochemical degradation theory. The accuracy–interpretability trade-off analysis demonstrates that the interpretable models (SR-1, SINDy-1) can match or exceed the predictive accuracy of black-box approaches (LSTM, RF) on the NASA benchmark, challenging the conventional assumption that accuracy must be sacrificed for interpretability.</w:t>
      </w:r>
    </w:p>
    <w:p>
      <w:pPr>
        <w:jc w:val="both"/>
      </w:pPr>
      <w:r>
        <w:rPr>
          <w:rFonts w:ascii="Calibri" w:hAnsi="Calibri"/>
        </w:rPr>
        <w:t>Future work should address: (i) SR-2 operator set optimization using multi-objective Pareto search algorithms (e.g., PySR); (ii) SINDy-2 sparsity threshold calibration per battery chemistry; (iii) cross-chemistry transfer learning to evaluate model generalizability across diverse cell chemistries; and (iv) extension to multi-step-ahead RUL prediction with uncertainty quantification.</w:t>
      </w:r>
    </w:p>
    <w:p>
      <w:pPr>
        <w:keepNext/>
        <w:spacing w:before="360" w:after="120"/>
      </w:pPr>
      <w:r>
        <w:rPr>
          <w:rFonts w:ascii="Calibri" w:hAnsi="Calibri"/>
          <w:b/>
          <w:color w:val="1B4965"/>
          <w:sz w:val="30"/>
        </w:rPr>
        <w:t>References</w:t>
      </w:r>
    </w:p>
    <w:p>
      <w:pPr>
        <w:spacing w:after="80"/>
        <w:ind w:left="576" w:hanging="576"/>
      </w:pPr>
      <w:r>
        <w:rPr>
          <w:rFonts w:ascii="Calibri" w:hAnsi="Calibri"/>
          <w:sz w:val="20"/>
        </w:rPr>
        <w:t>Brunton, S.L., Proctor, J.L., Kutz, J.N., 2016. Discovering governing equations from data by sparse identification of nonlinear dynamical systems. Proc. Natl. Acad. Sci. 113, 3932–3937. https://doi.org/10.1073/pnas.1517384113</w:t>
      </w:r>
    </w:p>
    <w:p>
      <w:pPr>
        <w:spacing w:after="80"/>
        <w:ind w:left="576" w:hanging="576"/>
      </w:pPr>
      <w:r>
        <w:rPr>
          <w:rFonts w:ascii="Calibri" w:hAnsi="Calibri"/>
          <w:sz w:val="20"/>
        </w:rPr>
        <w:t>Cranmer, M., 2023. Interpretable Machine Learning for Science with PySR and SymbolicRegression.jl. https://doi.org/10.48550/ARXIV.2305.01582</w:t>
      </w:r>
    </w:p>
    <w:p>
      <w:pPr>
        <w:spacing w:after="80"/>
        <w:ind w:left="576" w:hanging="576"/>
      </w:pPr>
      <w:r>
        <w:rPr>
          <w:rFonts w:ascii="Calibri" w:hAnsi="Calibri"/>
          <w:sz w:val="20"/>
        </w:rPr>
        <w:t>De Silva, B., Champion, K., Quade, M., Loiseau, J.-C., Kutz, J., Brunton, S., 2020. PySINDy: A Python package for the sparse identification of nonlinear dynamical systems from data. J. Open Source Softw. 5, 2104. https://doi.org/10.21105/joss.02104</w:t>
      </w:r>
    </w:p>
    <w:p>
      <w:pPr>
        <w:spacing w:after="80"/>
        <w:ind w:left="576" w:hanging="576"/>
      </w:pPr>
      <w:r>
        <w:rPr>
          <w:rFonts w:ascii="Calibri" w:hAnsi="Calibri"/>
          <w:sz w:val="20"/>
        </w:rPr>
        <w:t>Gu, X., Huan, X., Ren, Y., Zhou, W., Jiang, W., Song, Z., 2026. Real-time physics-aware battery health monitoring from partial charging profiles via physics-informed neural networks. eTransportation 28, 100555. https://doi.org/10.1016/j.etran.2026.100555</w:t>
      </w:r>
    </w:p>
    <w:p>
      <w:pPr>
        <w:spacing w:after="80"/>
        <w:ind w:left="576" w:hanging="576"/>
      </w:pPr>
      <w:r>
        <w:rPr>
          <w:rFonts w:ascii="Calibri" w:hAnsi="Calibri"/>
          <w:sz w:val="20"/>
        </w:rPr>
        <w:t>Li, W., Zhang, J., Ringbeck, F., Jöst, D., Zhang, L., Wei, Z., Sauer, D.U., 2021. Physics-informed neural networks for electrode-level state estimation in lithium-ion batteries. J. Power Sources 506, 230034. https://doi.org/10.1016/j.jpowsour.2021.230034</w:t>
      </w:r>
    </w:p>
    <w:p>
      <w:pPr>
        <w:spacing w:after="80"/>
        <w:ind w:left="576" w:hanging="576"/>
      </w:pPr>
      <w:r>
        <w:rPr>
          <w:rFonts w:ascii="Calibri" w:hAnsi="Calibri"/>
          <w:sz w:val="20"/>
        </w:rPr>
        <w:t>Lui, Y.H., Li, M., Downey, A., Shen, S., Nemani, V.P., Ye, H., VanElzen, C., Jain, G., Hu, S., Laflamme, S., Hu, C., 2021. Physics-based prognostics of implantable-grade lithium-ion battery for remaining useful life prediction. J. Power Sources 485, 229327. https://doi.org/10.1016/j.jpowsour.2020.229327</w:t>
      </w:r>
    </w:p>
    <w:p>
      <w:pPr>
        <w:spacing w:after="80"/>
        <w:ind w:left="576" w:hanging="576"/>
      </w:pPr>
      <w:r>
        <w:rPr>
          <w:rFonts w:ascii="Calibri" w:hAnsi="Calibri"/>
          <w:sz w:val="20"/>
        </w:rPr>
        <w:t>Nuhic, A., Terzimehic, T., Soczka-Guth, T., Buchholz, M., Dietmayer, K., 2013. Health diagnosis and remaining useful life prognostics of lithium-ion batteries using data-driven methods. J. Power Sources 239, 680–688. https://doi.org/10.1016/j.jpowsour.2012.11.146</w:t>
      </w:r>
    </w:p>
    <w:p>
      <w:pPr>
        <w:spacing w:after="80"/>
        <w:ind w:left="576" w:hanging="576"/>
      </w:pPr>
      <w:r>
        <w:rPr>
          <w:rFonts w:ascii="Calibri" w:hAnsi="Calibri"/>
          <w:sz w:val="20"/>
        </w:rPr>
        <w:t>Pecht, M., 2012. CALCE Battery Research Group Data. University of Maryland.</w:t>
      </w:r>
    </w:p>
    <w:p>
      <w:pPr>
        <w:spacing w:after="80"/>
        <w:ind w:left="576" w:hanging="576"/>
      </w:pPr>
      <w:r>
        <w:rPr>
          <w:rFonts w:ascii="Calibri" w:hAnsi="Calibri"/>
          <w:sz w:val="20"/>
        </w:rPr>
        <w:t>Ren, L., Zhao, L., Hong, S., Zhao, S., Wang, H., Zhang, L., 2018. Remaining Useful Life Prediction for Lithium-Ion Battery: A Deep Learning Approach. IEEE Access 6, 50587–50598. https://doi.org/10.1109/ACCESS.2018.2858856</w:t>
      </w:r>
    </w:p>
    <w:p>
      <w:pPr>
        <w:spacing w:after="80"/>
        <w:ind w:left="576" w:hanging="576"/>
      </w:pPr>
      <w:r>
        <w:rPr>
          <w:rFonts w:ascii="Calibri" w:hAnsi="Calibri"/>
          <w:sz w:val="20"/>
        </w:rPr>
        <w:t>Saha, B., Goebel, K., 2007. Battery Data Set, NASA Ames Prognostics Data Repository. NASA Ames Research Center, Moffett Field, CA.</w:t>
      </w:r>
    </w:p>
    <w:p>
      <w:pPr>
        <w:spacing w:after="80"/>
        <w:ind w:left="576" w:hanging="576"/>
      </w:pPr>
      <w:r>
        <w:rPr>
          <w:rFonts w:ascii="Calibri" w:hAnsi="Calibri"/>
          <w:sz w:val="20"/>
        </w:rPr>
        <w:t>Severson, K.A., Attia, P.M., Jin, N., Perkins, N., Jiang, B., Yang, Z., Chen, M.H., Aykol, M., Herring, P.K., Fraggedakis, D., Bazant, M.Z., Harris, S.J., Chueh, W.C., Braatz, R.D., 2019. Data-driven prediction of battery cycle life before capacity degradation. Nat. Energy 4, 383–391. https://doi.org/10.1038/s41560-019-0356-8</w:t>
      </w:r>
    </w:p>
    <w:p>
      <w:pPr>
        <w:spacing w:after="80"/>
        <w:ind w:left="576" w:hanging="576"/>
      </w:pPr>
      <w:r>
        <w:rPr>
          <w:rFonts w:ascii="Calibri" w:hAnsi="Calibri"/>
          <w:sz w:val="20"/>
        </w:rPr>
        <w:t>Thelen, A., Lui, Y.H., Shen, S., Laflamme, S., Hu, S., Ye, H., Hu, C., 2022. Integrating physics-based modeling and machine learning for degradation diagnostics of lithium-ion batteries. Energy Storage Mater. 50, 668–695. https://doi.org/10.1016/j.ensm.2022.05.047</w:t>
      </w:r>
    </w:p>
    <w:p>
      <w:pPr>
        <w:spacing w:after="80"/>
        <w:ind w:left="576" w:hanging="576"/>
      </w:pPr>
      <w:r>
        <w:rPr>
          <w:rFonts w:ascii="Calibri" w:hAnsi="Calibri"/>
          <w:sz w:val="20"/>
        </w:rPr>
        <w:t>Zhou, Y., Huang, M., Chen, Y., Tao, Y., 2016. A novel health indicator for on-line lithium-ion batteries remaining useful life prediction. J. Power Sources 321, 1–10. https://doi.org/10.1016/j.jpowsour.2016.04.119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