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565C0"/>
          <w:sz w:val="56"/>
          <w:szCs w:val="56"/>
        </w:rPr>
        <w:t xml:space="preserve">FunSearch-SINDy</w:t>
      </w:r>
    </w:p>
    <w:p>
      <w:pPr>
        <w:spacing w:after="80" w:before="0"/>
        <w:jc w:val="center"/>
      </w:pPr>
      <w:r>
        <w:rPr>
          <w:rFonts w:ascii="Arial" w:cs="Arial" w:eastAsia="Arial" w:hAnsi="Arial"/>
          <w:color w:val="555555"/>
          <w:sz w:val="28"/>
          <w:szCs w:val="28"/>
        </w:rPr>
        <w:t xml:space="preserve">Project 2 of 3 — Evolutionary Equation Discovery</w:t>
      </w:r>
    </w:p>
    <w:p>
      <w:pPr>
        <w:spacing w:after="40" w:before="0"/>
        <w:jc w:val="center"/>
      </w:pPr>
      <w:r>
        <w:rPr>
          <w:rFonts w:ascii="Arial" w:cs="Arial" w:eastAsia="Arial" w:hAnsi="Arial"/>
          <w:i/>
          <w:iCs/>
          <w:color w:val="555555"/>
          <w:sz w:val="26"/>
          <w:szCs w:val="26"/>
        </w:rPr>
        <w:t xml:space="preserve">Dominican Republic Dengue Fever Forecasting</w:t>
      </w:r>
    </w:p>
    <w:p>
      <w:pPr>
        <w:spacing w:after="360" w:before="80"/>
        <w:jc w:val="center"/>
      </w:pPr>
      <w:r>
        <w:rPr>
          <w:rFonts w:ascii="Arial" w:cs="Arial" w:eastAsia="Arial" w:hAnsi="Arial"/>
          <w:color w:val="888888"/>
          <w:sz w:val="22"/>
          <w:szCs w:val="22"/>
        </w:rPr>
        <w:t xml:space="preserve">May 2026  |  Sushyanth Sridhar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565C0" w:sz="6"/>
              <w:left w:val="single" w:color="1565C0" w:sz="6"/>
              <w:bottom w:val="single" w:color="1565C0" w:sz="6"/>
              <w:right w:val="single" w:color="1565C0" w:sz="6"/>
            </w:tcBorders>
            <w:shd w:fill="E3F2FD" w:val="clear"/>
            <w:tcMar>
              <w:top w:type="dxa" w:w="200"/>
              <w:left w:type="dxa" w:w="300"/>
              <w:bottom w:type="dxa" w:w="200"/>
              <w:right w:type="dxa" w:w="300"/>
            </w:tcMar>
          </w:tcPr>
          <w:p>
            <w:pPr>
              <w:jc w:val="center"/>
            </w:pPr>
            <w:r>
              <w:rPr>
                <w:rFonts w:ascii="Arial" w:cs="Arial" w:eastAsia="Arial" w:hAnsi="Arial"/>
                <w:b/>
                <w:bCs/>
                <w:color w:val="E65100"/>
                <w:sz w:val="18"/>
                <w:szCs w:val="18"/>
              </w:rPr>
              <w:t xml:space="preserve">PRELIMINARY RESULTS  (walk-forward run, superseded by fixed-split re-run)</w:t>
            </w:r>
          </w:p>
          <w:p>
            <w:pPr>
              <w:spacing w:after="0" w:before="60"/>
            </w:pPr>
            <w:r>
              <w:t xml:space="preserve"/>
            </w:r>
          </w:p>
          <w:p>
            <w:r>
              <w:rPr>
                <w:rFonts w:ascii="Arial" w:cs="Arial" w:eastAsia="Arial" w:hAnsi="Arial"/>
                <w:b/>
                <w:bCs/>
                <w:color w:val="1565C0"/>
                <w:sz w:val="22"/>
                <w:szCs w:val="22"/>
              </w:rPr>
              <w:t xml:space="preserve">Island A (Coastal, 13 provinces)</w:t>
            </w:r>
            <w:r>
              <w:rPr>
                <w:rFonts w:ascii="Arial" w:cs="Arial" w:eastAsia="Arial" w:hAnsi="Arial"/>
                <w:color w:val="333333"/>
                <w:sz w:val="22"/>
                <w:szCs w:val="22"/>
              </w:rPr>
              <w:t xml:space="preserve">  ·  Test R² = 0.387  |  Spectral = 0.871  |  Δ vs SINDy = −0.001</w:t>
            </w:r>
          </w:p>
          <w:p>
            <w:r>
              <w:rPr>
                <w:rFonts w:ascii="Arial" w:cs="Arial" w:eastAsia="Arial" w:hAnsi="Arial"/>
                <w:b/>
                <w:bCs/>
                <w:color w:val="2E7D32"/>
                <w:sz w:val="22"/>
                <w:szCs w:val="22"/>
              </w:rPr>
              <w:t xml:space="preserve">Island B (Inland,  19 provinces)</w:t>
            </w:r>
            <w:r>
              <w:rPr>
                <w:rFonts w:ascii="Arial" w:cs="Arial" w:eastAsia="Arial" w:hAnsi="Arial"/>
                <w:color w:val="333333"/>
                <w:sz w:val="22"/>
                <w:szCs w:val="22"/>
              </w:rPr>
              <w:t xml:space="preserve">  ·  Test R² = 0.534  |  Spectral = 0.906  |  Δ vs SINDy = +0.141</w:t>
            </w:r>
          </w:p>
          <w:p>
            <w:pPr>
              <w:spacing w:after="0" w:before="60"/>
            </w:pPr>
            <w:r>
              <w:t xml:space="preserve"/>
            </w:r>
          </w:p>
          <w:p>
            <w:pPr>
              <w:jc w:val="center"/>
            </w:pPr>
            <w:r>
              <w:rPr>
                <w:rFonts w:ascii="Arial" w:cs="Arial" w:eastAsia="Arial" w:hAnsi="Arial"/>
                <w:i/>
                <w:iCs/>
                <w:color w:val="555555"/>
                <w:sz w:val="20"/>
                <w:szCs w:val="20"/>
              </w:rPr>
              <w:t xml:space="preserve">Novel finding: dominant EIP × rolling_incidence interaction captures thermal-epidemic coupling absent from standard SEIR</w:t>
            </w:r>
          </w:p>
        </w:tc>
      </w:tr>
    </w:tbl>
    <w:p>
      <w:r>
        <w:br w:type="page"/>
      </w:r>
    </w:p>
    <w:p>
      <w:pPr>
        <w:pStyle w:val="Heading1"/>
        <w:pBdr>
          <w:bottom w:val="single" w:color="1565C0" w:sz="4"/>
        </w:pBdr>
        <w:spacing w:after="120" w:before="360"/>
      </w:pPr>
      <w:r>
        <w:rPr>
          <w:rFonts w:ascii="Arial" w:cs="Arial" w:eastAsia="Arial" w:hAnsi="Arial"/>
        </w:rPr>
        <w:t xml:space="preserve">1. Abstract</w:t>
      </w:r>
    </w:p>
    <w:p>
      <w:pPr>
        <w:spacing w:after="100" w:before="60"/>
      </w:pPr>
      <w:r>
        <w:rPr>
          <w:rFonts w:ascii="Arial" w:cs="Arial" w:eastAsia="Arial" w:hAnsi="Arial"/>
          <w:sz w:val="22"/>
          <w:szCs w:val="22"/>
        </w:rPr>
        <w:t xml:space="preserve">FunSearch-SINDy is the second project in the LLM-FunSearch pipeline for dengue forecasting in the Dominican Republic. Starting from the SINDy M1 baseline equations (mean test R² = 0.39), we ran an evolutionary equation search over a 66-term feature library using a 2-island model: Island A (13 coastal, EIP-driven provinces) and Island B (19 inland, auto-regressive provinces). Each island maintained a population of 20 candidate equations, with OLS coefficient re-fitting as the inner loop and structural mutation as the outer loop.</w:t>
      </w:r>
    </w:p>
    <w:p>
      <w:pPr>
        <w:spacing w:after="0" w:before="60"/>
      </w:pPr>
      <w:r>
        <w:t xml:space="preserve"/>
      </w:r>
    </w:p>
    <w:p>
      <w:pPr>
        <w:spacing w:after="100" w:before="60"/>
      </w:pPr>
      <w:r>
        <w:rPr>
          <w:rFonts w:ascii="Arial" w:cs="Arial" w:eastAsia="Arial" w:hAnsi="Arial"/>
          <w:sz w:val="22"/>
          <w:szCs w:val="22"/>
        </w:rPr>
        <w:t xml:space="preserve">In the preliminary walk-forward run, Island A matched the SINDy baseline (Δ = −0.001) while Island B significantly improved it (Δ = +0.141, test R² = 0.534). Island A discovered a novel EIP×rolling_incidence interaction term (coefficient +0.943) not present in standard SEIR formulations, alongside a negative EIP×incidence_lag2 coupling (−0.768) suggesting a delayed thermal herd-immunity effect. Spectral scores exceeded 0.87 for both islands, confirming the equations capture the correct annual and sub-annual dengue periodicity. A fixed 5-year training split (2015–2019 train, 2020–2021 val, 2022–2023 test) has been implemented to address underdetermination in the original walk-forward design; re-run results will supersede these preliminary values.</w:t>
      </w:r>
    </w:p>
    <w:p>
      <w:r>
        <w:br w:type="page"/>
      </w:r>
    </w:p>
    <w:p>
      <w:pPr>
        <w:pStyle w:val="Heading1"/>
        <w:pBdr>
          <w:bottom w:val="single" w:color="1565C0" w:sz="4"/>
        </w:pBdr>
        <w:spacing w:after="120" w:before="360"/>
      </w:pPr>
      <w:r>
        <w:rPr>
          <w:rFonts w:ascii="Arial" w:cs="Arial" w:eastAsia="Arial" w:hAnsi="Arial"/>
        </w:rPr>
        <w:t xml:space="preserve">2. Background &amp; Motivation</w:t>
      </w:r>
    </w:p>
    <w:p>
      <w:pPr>
        <w:pStyle w:val="Heading2"/>
        <w:spacing w:after="80" w:before="240"/>
      </w:pPr>
      <w:r>
        <w:rPr>
          <w:rFonts w:ascii="Arial" w:cs="Arial" w:eastAsia="Arial" w:hAnsi="Arial"/>
        </w:rPr>
        <w:t xml:space="preserve">2.1  Project pipeline</w:t>
      </w:r>
    </w:p>
    <w:p>
      <w:pPr>
        <w:spacing w:after="100" w:before="60"/>
      </w:pPr>
      <w:r>
        <w:rPr>
          <w:rFonts w:ascii="Arial" w:cs="Arial" w:eastAsia="Arial" w:hAnsi="Arial"/>
          <w:sz w:val="22"/>
          <w:szCs w:val="22"/>
        </w:rPr>
        <w:t xml:space="preserve">This work is part of a three-project pipeline: </w:t>
      </w:r>
      <w:r>
        <w:rPr>
          <w:rFonts w:ascii="Arial" w:cs="Arial" w:eastAsia="Arial" w:hAnsi="Arial"/>
          <w:b/>
          <w:bCs/>
          <w:sz w:val="22"/>
          <w:szCs w:val="22"/>
        </w:rPr>
        <w:t xml:space="preserve">Project 1 (SINDy)</w:t>
      </w:r>
      <w:r>
        <w:rPr>
          <w:rFonts w:ascii="Arial" w:cs="Arial" w:eastAsia="Arial" w:hAnsi="Arial"/>
          <w:sz w:val="22"/>
          <w:szCs w:val="22"/>
        </w:rPr>
        <w:t xml:space="preserve"> fitted per-province sparse OLS equations using an 8-feature library; </w:t>
      </w:r>
      <w:r>
        <w:rPr>
          <w:rFonts w:ascii="Arial" w:cs="Arial" w:eastAsia="Arial" w:hAnsi="Arial"/>
          <w:b/>
          <w:bCs/>
          <w:sz w:val="22"/>
          <w:szCs w:val="22"/>
        </w:rPr>
        <w:t xml:space="preserve">Project 2 (FunSearch-SINDy, this report)</w:t>
      </w:r>
      <w:r>
        <w:rPr>
          <w:rFonts w:ascii="Arial" w:cs="Arial" w:eastAsia="Arial" w:hAnsi="Arial"/>
          <w:sz w:val="22"/>
          <w:szCs w:val="22"/>
        </w:rPr>
        <w:t xml:space="preserve"> runs evolutionary structural search seeded from those SINDy equations; </w:t>
      </w:r>
      <w:r>
        <w:rPr>
          <w:rFonts w:ascii="Arial" w:cs="Arial" w:eastAsia="Arial" w:hAnsi="Arial"/>
          <w:b/>
          <w:bCs/>
          <w:sz w:val="22"/>
          <w:szCs w:val="22"/>
        </w:rPr>
        <w:t xml:space="preserve">Project 3 (LLM-FunSearch)</w:t>
      </w:r>
      <w:r>
        <w:rPr>
          <w:rFonts w:ascii="Arial" w:cs="Arial" w:eastAsia="Arial" w:hAnsi="Arial"/>
          <w:sz w:val="22"/>
          <w:szCs w:val="22"/>
        </w:rPr>
        <w:t xml:space="preserve"> will replace the random mutator with GPT-4o-guided mutations.</w:t>
      </w:r>
    </w:p>
    <w:p>
      <w:pPr>
        <w:spacing w:after="0" w:before="60"/>
      </w:pPr>
      <w:r>
        <w:t xml:space="preserve"/>
      </w:r>
    </w:p>
    <w:p>
      <w:pPr>
        <w:pStyle w:val="Heading2"/>
        <w:spacing w:after="80" w:before="240"/>
      </w:pPr>
      <w:r>
        <w:rPr>
          <w:rFonts w:ascii="Arial" w:cs="Arial" w:eastAsia="Arial" w:hAnsi="Arial"/>
        </w:rPr>
        <w:t xml:space="preserve">2.2  Why evolutionary search on top of SINDy?</w:t>
      </w:r>
    </w:p>
    <w:p>
      <w:pPr>
        <w:spacing w:after="100" w:before="60"/>
      </w:pPr>
      <w:r>
        <w:rPr>
          <w:rFonts w:ascii="Arial" w:cs="Arial" w:eastAsia="Arial" w:hAnsi="Arial"/>
          <w:sz w:val="22"/>
          <w:szCs w:val="22"/>
        </w:rPr>
        <w:t xml:space="preserve">SINDy identifies sparse linear regressions from a fixed pre-specified library. It cannot explore interaction terms it was not explicitly given, and it fits each province independently, missing cross-province generalisable structure. The evolutionary search addresses both limitations: (1) the 66-term library includes all degree-2 interaction terms, letting the search discover non-linear couplings; (2) each island fits a single equation to all provinces in that group simultaneously, learning what is universally true rather than what overfits one province.</w:t>
      </w:r>
    </w:p>
    <w:p>
      <w:pPr>
        <w:spacing w:after="0" w:before="60"/>
      </w:pPr>
      <w:r>
        <w:t xml:space="preserve"/>
      </w:r>
    </w:p>
    <w:p>
      <w:pPr>
        <w:pStyle w:val="Heading2"/>
        <w:spacing w:after="80" w:before="240"/>
      </w:pPr>
      <w:r>
        <w:rPr>
          <w:rFonts w:ascii="Arial" w:cs="Arial" w:eastAsia="Arial" w:hAnsi="Arial"/>
        </w:rPr>
        <w:t xml:space="preserve">2.3  Why the walk-forward run underperformed</w:t>
      </w:r>
    </w:p>
    <w:p>
      <w:pPr>
        <w:spacing w:after="100" w:before="60"/>
      </w:pPr>
      <w:r>
        <w:rPr>
          <w:rFonts w:ascii="Arial" w:cs="Arial" w:eastAsia="Arial" w:hAnsi="Arial"/>
          <w:sz w:val="22"/>
          <w:szCs w:val="22"/>
        </w:rPr>
        <w:t xml:space="preserve">The initial design used 4 expanding walk-forward windows (Window 1: 1 training year; Window 2: 3 years; ...). With 10 candidate terms and only 52 training rows in Window 1, the OLS inner loop was severely underdetermined — it fit noise in Window 1, and that noisy structure seeded Windows 2–4. The effective starting point for evolution was already sub-optimal.</w:t>
      </w:r>
    </w:p>
    <w:p>
      <w:pPr>
        <w:spacing w:after="0" w:before="60"/>
      </w:pPr>
      <w:r>
        <w:t xml:space="preserve"/>
      </w:r>
    </w:p>
    <w:p>
      <w:pPr>
        <w:spacing w:after="100" w:before="60"/>
      </w:pPr>
      <w:r>
        <w:rPr>
          <w:rFonts w:ascii="Arial" w:cs="Arial" w:eastAsia="Arial" w:hAnsi="Arial"/>
          <w:sz w:val="22"/>
          <w:szCs w:val="22"/>
        </w:rPr>
        <w:t xml:space="preserve">The fix — a single fixed split with 5 training years (260 rows/province) — ensures the OLS problem is well-determined from the first generation. All subsequent runs use this configuration.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single" w:color="E65100" w:sz="8"/>
              <w:bottom w:val="single" w:color="E65100" w:sz="8"/>
              <w:right w:val="single" w:color="E65100" w:sz="8"/>
            </w:tcBorders>
            <w:shd w:fill="FFF3E0" w:val="clear"/>
            <w:tcMar>
              <w:top w:type="dxa" w:w="160"/>
              <w:left w:type="dxa" w:w="240"/>
              <w:bottom w:type="dxa" w:w="160"/>
              <w:right w:type="dxa" w:w="240"/>
            </w:tcMar>
          </w:tcPr>
          <w:p>
            <w:r>
              <w:rPr>
                <w:rFonts w:ascii="Arial" w:cs="Arial" w:eastAsia="Arial" w:hAnsi="Arial"/>
                <w:b/>
                <w:bCs/>
                <w:color w:val="E65100"/>
                <w:sz w:val="20"/>
                <w:szCs w:val="20"/>
              </w:rPr>
              <w:t xml:space="preserve">Code update (committed): Fixed 5yr/2yr/2yr split</w:t>
            </w:r>
          </w:p>
          <w:p>
            <w:pPr>
              <w:spacing w:after="0" w:before="40"/>
            </w:pPr>
            <w:r>
              <w:t xml:space="preserve"/>
            </w:r>
          </w:p>
          <w:p>
            <w:r>
              <w:rPr>
                <w:rFonts w:ascii="Courier New" w:cs="Courier New" w:eastAsia="Courier New" w:hAnsi="Courier New"/>
                <w:color w:val="1A237E"/>
                <w:sz w:val="20"/>
                <w:szCs w:val="20"/>
              </w:rPr>
              <w:t xml:space="preserve">config.py</w:t>
            </w:r>
            <w:r>
              <w:rPr>
                <w:rFonts w:ascii="Arial" w:cs="Arial" w:eastAsia="Arial" w:hAnsi="Arial"/>
                <w:sz w:val="20"/>
                <w:szCs w:val="20"/>
              </w:rPr>
              <w:t xml:space="preserve"> now defines:</w:t>
            </w:r>
          </w:p>
          <w:p>
            <w:r>
              <w:rPr>
                <w:rFonts w:ascii="Courier New" w:cs="Courier New" w:eastAsia="Courier New" w:hAnsi="Courier New"/>
                <w:color w:val="1A237E"/>
                <w:sz w:val="20"/>
                <w:szCs w:val="20"/>
              </w:rPr>
              <w:t xml:space="preserve">  TRAIN_YEARS = 2015–2019   (5 yrs, 260 rows/province)</w:t>
            </w:r>
          </w:p>
          <w:p>
            <w:r>
              <w:rPr>
                <w:rFonts w:ascii="Courier New" w:cs="Courier New" w:eastAsia="Courier New" w:hAnsi="Courier New"/>
                <w:color w:val="1A237E"/>
                <w:sz w:val="20"/>
                <w:szCs w:val="20"/>
              </w:rPr>
              <w:t xml:space="preserve">  VAL_YEARS   = [2020, 2021]  (2 yrs, 104 rows)</w:t>
            </w:r>
          </w:p>
          <w:p>
            <w:r>
              <w:rPr>
                <w:rFonts w:ascii="Courier New" w:cs="Courier New" w:eastAsia="Courier New" w:hAnsi="Courier New"/>
                <w:color w:val="1A237E"/>
                <w:sz w:val="20"/>
                <w:szCs w:val="20"/>
              </w:rPr>
              <w:t xml:space="preserve">  TEST_YEARS  = [2022, 2023]  (2 yrs, held-out)</w:t>
            </w:r>
          </w:p>
          <w:p>
            <w:r>
              <w:rPr>
                <w:rFonts w:ascii="Courier New" w:cs="Courier New" w:eastAsia="Courier New" w:hAnsi="Courier New"/>
                <w:color w:val="1A237E"/>
                <w:sz w:val="20"/>
                <w:szCs w:val="20"/>
              </w:rPr>
              <w:t xml:space="preserve">  GENERATIONS_PER_WINDOW = 200  (was 50)</w:t>
            </w:r>
          </w:p>
          <w:p>
            <w:pPr>
              <w:spacing w:after="0" w:before="40"/>
            </w:pPr>
            <w:r>
              <w:t xml:space="preserve"/>
            </w:r>
          </w:p>
          <w:p>
            <w:r>
              <w:rPr>
                <w:rFonts w:ascii="Arial" w:cs="Arial" w:eastAsia="Arial" w:hAnsi="Arial"/>
                <w:i/>
                <w:iCs/>
                <w:color w:val="E65100"/>
                <w:sz w:val="20"/>
                <w:szCs w:val="20"/>
              </w:rPr>
              <w:t xml:space="preserve">Re-run island.py / run_funsearch.py to generate updated results.</w:t>
            </w:r>
          </w:p>
        </w:tc>
      </w:tr>
    </w:tbl>
    <w:p>
      <w:r>
        <w:br w:type="page"/>
      </w:r>
    </w:p>
    <w:p>
      <w:pPr>
        <w:pStyle w:val="Heading1"/>
        <w:pBdr>
          <w:bottom w:val="single" w:color="1565C0" w:sz="4"/>
        </w:pBdr>
        <w:spacing w:after="120" w:before="360"/>
      </w:pPr>
      <w:r>
        <w:rPr>
          <w:rFonts w:ascii="Arial" w:cs="Arial" w:eastAsia="Arial" w:hAnsi="Arial"/>
        </w:rPr>
        <w:t xml:space="preserve">3. Methods</w:t>
      </w:r>
    </w:p>
    <w:p>
      <w:pPr>
        <w:pStyle w:val="Heading2"/>
        <w:spacing w:after="80" w:before="240"/>
      </w:pPr>
      <w:r>
        <w:rPr>
          <w:rFonts w:ascii="Arial" w:cs="Arial" w:eastAsia="Arial" w:hAnsi="Arial"/>
        </w:rPr>
        <w:t xml:space="preserve">3.1  Feature library (66 terms)</w:t>
      </w:r>
    </w:p>
    <w:p>
      <w:pPr>
        <w:spacing w:after="100" w:before="60"/>
      </w:pPr>
      <w:r>
        <w:rPr>
          <w:rFonts w:ascii="Arial" w:cs="Arial" w:eastAsia="Arial" w:hAnsi="Arial"/>
          <w:sz w:val="22"/>
          <w:szCs w:val="22"/>
        </w:rPr>
        <w:t xml:space="preserve">The candidate library contains:  </w:t>
      </w:r>
      <w:r>
        <w:rPr>
          <w:rFonts w:ascii="Arial" w:cs="Arial" w:eastAsia="Arial" w:hAnsi="Arial"/>
          <w:b/>
          <w:bCs/>
          <w:sz w:val="22"/>
          <w:szCs w:val="22"/>
        </w:rPr>
        <w:t xml:space="preserve">1 bias term</w:t>
      </w:r>
      <w:r>
        <w:rPr>
          <w:rFonts w:ascii="Arial" w:cs="Arial" w:eastAsia="Arial" w:hAnsi="Arial"/>
          <w:sz w:val="22"/>
          <w:szCs w:val="22"/>
        </w:rPr>
        <w:t xml:space="preserve"> · </w:t>
      </w:r>
      <w:r>
        <w:rPr>
          <w:rFonts w:ascii="Arial" w:cs="Arial" w:eastAsia="Arial" w:hAnsi="Arial"/>
          <w:b/>
          <w:bCs/>
          <w:sz w:val="22"/>
          <w:szCs w:val="22"/>
        </w:rPr>
        <w:t xml:space="preserve">10 base features</w:t>
      </w:r>
      <w:r>
        <w:rPr>
          <w:rFonts w:ascii="Arial" w:cs="Arial" w:eastAsia="Arial" w:hAnsi="Arial"/>
          <w:sz w:val="22"/>
          <w:szCs w:val="22"/>
        </w:rPr>
        <w:t xml:space="preserve"> (incidence lags 1–4, EIP, temp_lag4, rainfall_lag3, avg_humidity, rolling_incidence_4wk, week_sin, week_cos) · </w:t>
      </w:r>
      <w:r>
        <w:rPr>
          <w:rFonts w:ascii="Arial" w:cs="Arial" w:eastAsia="Arial" w:hAnsi="Arial"/>
          <w:b/>
          <w:bCs/>
          <w:sz w:val="22"/>
          <w:szCs w:val="22"/>
        </w:rPr>
        <w:t xml:space="preserve">10 squared terms</w:t>
      </w:r>
      <w:r>
        <w:rPr>
          <w:rFonts w:ascii="Arial" w:cs="Arial" w:eastAsia="Arial" w:hAnsi="Arial"/>
          <w:sz w:val="22"/>
          <w:szCs w:val="22"/>
        </w:rPr>
        <w:t xml:space="preserve"> · </w:t>
      </w:r>
      <w:r>
        <w:rPr>
          <w:rFonts w:ascii="Arial" w:cs="Arial" w:eastAsia="Arial" w:hAnsi="Arial"/>
          <w:b/>
          <w:bCs/>
          <w:sz w:val="22"/>
          <w:szCs w:val="22"/>
        </w:rPr>
        <w:t xml:space="preserve">45 cross-product terms</w:t>
      </w:r>
      <w:r>
        <w:rPr>
          <w:rFonts w:ascii="Arial" w:cs="Arial" w:eastAsia="Arial" w:hAnsi="Arial"/>
          <w:sz w:val="22"/>
          <w:szCs w:val="22"/>
        </w:rPr>
        <w:t xml:space="preserve"> → 66 total.</w:t>
      </w:r>
    </w:p>
    <w:p>
      <w:pPr>
        <w:spacing w:after="0" w:before="60"/>
      </w:pPr>
      <w:r>
        <w:t xml:space="preserve"/>
      </w:r>
    </w:p>
    <w:p>
      <w:pPr>
        <w:pStyle w:val="Heading2"/>
        <w:spacing w:after="80" w:before="240"/>
      </w:pPr>
      <w:r>
        <w:rPr>
          <w:rFonts w:ascii="Arial" w:cs="Arial" w:eastAsia="Arial" w:hAnsi="Arial"/>
        </w:rPr>
        <w:t xml:space="preserve">3.2  Island architecture</w:t>
      </w:r>
    </w:p>
    <w:p>
      <w:pPr>
        <w:spacing w:after="100" w:before="60"/>
      </w:pPr>
      <w:r>
        <w:rPr>
          <w:rFonts w:ascii="Arial" w:cs="Arial" w:eastAsia="Arial" w:hAnsi="Arial"/>
          <w:b/>
          <w:bCs/>
          <w:sz w:val="22"/>
          <w:szCs w:val="22"/>
        </w:rPr>
        <w:t xml:space="preserve">Island A — Coastal (13 provinces): </w:t>
      </w:r>
      <w:r>
        <w:rPr>
          <w:rFonts w:ascii="Arial" w:cs="Arial" w:eastAsia="Arial" w:hAnsi="Arial"/>
          <w:sz w:val="22"/>
          <w:szCs w:val="22"/>
        </w:rPr>
        <w:t xml:space="preserve">All 13 SINDy M1 equations include EIP, suggesting thermal forcing drives transmission dynamics in coastal lowland areas. The union seed contains 30 terms.</w:t>
      </w:r>
    </w:p>
    <w:p>
      <w:pPr>
        <w:spacing w:after="0" w:before="40"/>
      </w:pPr>
      <w:r>
        <w:t xml:space="preserve"/>
      </w:r>
    </w:p>
    <w:p>
      <w:pPr>
        <w:spacing w:after="100" w:before="60"/>
      </w:pPr>
      <w:r>
        <w:rPr>
          <w:rFonts w:ascii="Arial" w:cs="Arial" w:eastAsia="Arial" w:hAnsi="Arial"/>
          <w:b/>
          <w:bCs/>
          <w:sz w:val="22"/>
          <w:szCs w:val="22"/>
        </w:rPr>
        <w:t xml:space="preserve">Island B — Inland (19 provinces): </w:t>
      </w:r>
      <w:r>
        <w:rPr>
          <w:rFonts w:ascii="Arial" w:cs="Arial" w:eastAsia="Arial" w:hAnsi="Arial"/>
          <w:sz w:val="22"/>
          <w:szCs w:val="22"/>
        </w:rPr>
        <w:t xml:space="preserve">Zero SINDy M1 equations include EIP, indicating auto-regressive dynamics dominate. The union seed contains 4 terms (incidence_lag1, incidence_lag2, incidence_lag4, rolling_incidence_4wk).</w:t>
      </w:r>
    </w:p>
    <w:p>
      <w:pPr>
        <w:spacing w:after="0" w:before="60"/>
      </w:pPr>
      <w:r>
        <w:t xml:space="preserve"/>
      </w:r>
    </w:p>
    <w:p>
      <w:pPr>
        <w:pStyle w:val="Heading2"/>
        <w:spacing w:after="80" w:before="240"/>
      </w:pPr>
      <w:r>
        <w:rPr>
          <w:rFonts w:ascii="Arial" w:cs="Arial" w:eastAsia="Arial" w:hAnsi="Arial"/>
        </w:rPr>
        <w:t xml:space="preserve">3.3  Evolution loop</w:t>
      </w:r>
    </w:p>
    <w:p>
      <w:pPr>
        <w:spacing w:after="100" w:before="60"/>
      </w:pPr>
      <w:r>
        <w:rPr>
          <w:rFonts w:ascii="Arial" w:cs="Arial" w:eastAsia="Arial" w:hAnsi="Arial"/>
          <w:sz w:val="22"/>
          <w:szCs w:val="22"/>
        </w:rPr>
        <w:t xml:space="preserve">Each generation: (1) tournament selection (k=3) chooses a parent; (2) structural mutation (add/remove/swap/crossover, dominantly add_term=35%, remove_term=25%, swap=25%) proposes a new term set; (3) OLS re-fits coefficients on all training-year rows stacked across all island provinces; (4) the mutant replaces the weakest population member if it improves mean val R². Early stopping triggers after 50 consecutive generations without ≥0.005 R² improvement.</w:t>
      </w:r>
    </w:p>
    <w:p>
      <w:pPr>
        <w:spacing w:after="0" w:before="60"/>
      </w:pPr>
      <w:r>
        <w:t xml:space="preserve"/>
      </w:r>
    </w:p>
    <w:p>
      <w:pPr>
        <w:pStyle w:val="Heading2"/>
        <w:spacing w:after="80" w:before="240"/>
      </w:pPr>
      <w:r>
        <w:rPr>
          <w:rFonts w:ascii="Arial" w:cs="Arial" w:eastAsia="Arial" w:hAnsi="Arial"/>
        </w:rPr>
        <w:t xml:space="preserve">3.4  Evaluation metrics</w:t>
      </w:r>
    </w:p>
    <w:p>
      <w:pPr>
        <w:pStyle w:val="ListParagraph"/>
        <w:numPr>
          <w:ilvl w:val="0"/>
          <w:numId w:val="2"/>
        </w:numPr>
        <w:spacing w:after="40" w:before="40"/>
      </w:pPr>
      <w:r>
        <w:rPr>
          <w:rFonts w:ascii="Arial" w:cs="Arial" w:eastAsia="Arial" w:hAnsi="Arial"/>
          <w:sz w:val="22"/>
          <w:szCs w:val="22"/>
        </w:rPr>
        <w:t xml:space="preserve">R² (coefficient of determination) on val and test splits — primary metric</w:t>
      </w:r>
    </w:p>
    <w:p>
      <w:pPr>
        <w:pStyle w:val="ListParagraph"/>
        <w:numPr>
          <w:ilvl w:val="0"/>
          <w:numId w:val="2"/>
        </w:numPr>
        <w:spacing w:after="40" w:before="40"/>
      </w:pPr>
      <w:r>
        <w:rPr>
          <w:rFonts w:ascii="Arial" w:cs="Arial" w:eastAsia="Arial" w:hAnsi="Arial"/>
          <w:sz w:val="22"/>
          <w:szCs w:val="22"/>
        </w:rPr>
        <w:t xml:space="preserve">Spectral score — FFT power overlap at first 5 non-DC frequencies between predicted and observed dI/dt — validates that periodicity is captured, not just variance</w:t>
      </w:r>
    </w:p>
    <w:p>
      <w:pPr>
        <w:pStyle w:val="ListParagraph"/>
        <w:numPr>
          <w:ilvl w:val="0"/>
          <w:numId w:val="2"/>
        </w:numPr>
        <w:spacing w:after="40" w:before="40"/>
      </w:pPr>
      <w:r>
        <w:rPr>
          <w:rFonts w:ascii="Arial" w:cs="Arial" w:eastAsia="Arial" w:hAnsi="Arial"/>
          <w:sz w:val="22"/>
          <w:szCs w:val="22"/>
        </w:rPr>
        <w:t xml:space="preserve">Δ Test — difference in test R² between FunSearch final equation and SINDy M1 province-mean baseline</w:t>
      </w:r>
    </w:p>
    <w:p>
      <w:r>
        <w:br w:type="page"/>
      </w:r>
    </w:p>
    <w:p>
      <w:pPr>
        <w:pStyle w:val="Heading1"/>
        <w:pBdr>
          <w:bottom w:val="single" w:color="1565C0" w:sz="4"/>
        </w:pBdr>
        <w:spacing w:after="120" w:before="360"/>
      </w:pPr>
      <w:r>
        <w:rPr>
          <w:rFonts w:ascii="Arial" w:cs="Arial" w:eastAsia="Arial" w:hAnsi="Arial"/>
        </w:rPr>
        <w:t xml:space="preserve">4. Results</w:t>
      </w:r>
    </w:p>
    <w:p>
      <w:pPr>
        <w:pStyle w:val="Heading2"/>
        <w:spacing w:after="80" w:before="240"/>
      </w:pPr>
      <w:r>
        <w:rPr>
          <w:rFonts w:ascii="Arial" w:cs="Arial" w:eastAsia="Arial" w:hAnsi="Arial"/>
        </w:rPr>
        <w:t xml:space="preserve">4.1  Island-level summary</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60"/>
        <w:gridCol w:w="880"/>
        <w:gridCol w:w="880"/>
        <w:gridCol w:w="880"/>
        <w:gridCol w:w="880"/>
        <w:gridCol w:w="880"/>
        <w:gridCol w:w="880"/>
        <w:gridCol w:w="880"/>
        <w:gridCol w:w="880"/>
      </w:tblGrid>
      <w:tr>
        <w:trPr>
          <w:tblHeader/>
        </w:trPr>
        <w:tc>
          <w:tcPr>
            <w:tcW w:type="dxa" w:w="216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Island</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N Prov</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Terms</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FS R² Train</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FS R² Val</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FS R² Test</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Spectral Test</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SINDy R² Test</w:t>
            </w:r>
          </w:p>
        </w:tc>
        <w:tc>
          <w:tcPr>
            <w:tcW w:type="dxa" w:w="88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Δ Test</w:t>
            </w:r>
          </w:p>
        </w:tc>
      </w:tr>
      <w:tr>
        <w:tc>
          <w:tcPr>
            <w:tcW w:type="dxa" w:w="216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1565C0"/>
                <w:sz w:val="18"/>
                <w:szCs w:val="18"/>
              </w:rPr>
              <w:t xml:space="preserve">A — Coastal (EIP-dominant)</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13</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7</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0.598</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0.593</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sz w:val="18"/>
                <w:szCs w:val="18"/>
              </w:rPr>
              <w:t xml:space="preserve">0.387</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0.871</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0.388</w:t>
            </w:r>
          </w:p>
        </w:tc>
        <w:tc>
          <w:tcPr>
            <w:tcW w:type="dxa" w:w="88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888888"/>
                <w:sz w:val="18"/>
                <w:szCs w:val="18"/>
              </w:rPr>
              <w:t xml:space="preserve">−0.001</w:t>
            </w:r>
          </w:p>
        </w:tc>
      </w:tr>
      <w:tr>
        <w:tc>
          <w:tcPr>
            <w:tcW w:type="dxa" w:w="21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B — Inland (AR-dominant)</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19</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7</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0.674</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0.693</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sz w:val="18"/>
                <w:szCs w:val="18"/>
              </w:rPr>
              <w:t xml:space="preserve">0.534</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0.906</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val="false"/>
                <w:bCs w:val="false"/>
                <w:sz w:val="18"/>
                <w:szCs w:val="18"/>
              </w:rPr>
              <w:t xml:space="preserve">0.394</w:t>
            </w:r>
          </w:p>
        </w:tc>
        <w:tc>
          <w:tcPr>
            <w:tcW w:type="dxa" w:w="88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+0.141</w:t>
            </w:r>
          </w:p>
        </w:tc>
      </w:tr>
    </w:tbl>
    <w:p>
      <w:pPr>
        <w:spacing w:after="0" w:before="120"/>
      </w:pPr>
      <w:r>
        <w:t xml:space="preserve"/>
      </w:r>
    </w:p>
    <w:p>
      <w:pPr>
        <w:spacing w:after="100" w:before="60"/>
      </w:pPr>
      <w:r>
        <w:rPr>
          <w:rFonts w:ascii="Arial" w:cs="Arial" w:eastAsia="Arial" w:hAnsi="Arial"/>
          <w:sz w:val="22"/>
          <w:szCs w:val="22"/>
        </w:rPr>
        <w:t xml:space="preserve">Island B showed a substantial improvement over SINDy (</w:t>
      </w:r>
      <w:r>
        <w:rPr>
          <w:rFonts w:ascii="Arial" w:cs="Arial" w:eastAsia="Arial" w:hAnsi="Arial"/>
          <w:b/>
          <w:bCs/>
          <w:sz w:val="22"/>
          <w:szCs w:val="22"/>
        </w:rPr>
        <w:t xml:space="preserve">+0.141 R²</w:t>
      </w:r>
      <w:r>
        <w:rPr>
          <w:rFonts w:ascii="Arial" w:cs="Arial" w:eastAsia="Arial" w:hAnsi="Arial"/>
          <w:sz w:val="22"/>
          <w:szCs w:val="22"/>
        </w:rPr>
        <w:t xml:space="preserve">), while Island A was statistically equivalent (Δ = −0.001). The spectral scores — 0.871 for Island A and 0.906 for Island B — confirm that both equations capture the correct epidemic periodicity. This is an important independent validation: an equation could achieve high R² by tracking absolute magnitude without matching the oscillatory structure, but spectral scores above 0.87 rule this out.</w:t>
      </w:r>
    </w:p>
    <w:p>
      <w:pPr>
        <w:spacing w:after="0" w:before="120"/>
      </w:pPr>
      <w:r>
        <w:t xml:space="preserve"/>
      </w:r>
    </w:p>
    <w:p>
      <w:pPr>
        <w:pStyle w:val="Heading2"/>
        <w:spacing w:after="80" w:before="240"/>
      </w:pPr>
      <w:r>
        <w:rPr>
          <w:rFonts w:ascii="Arial" w:cs="Arial" w:eastAsia="Arial" w:hAnsi="Arial"/>
        </w:rPr>
        <w:t xml:space="preserve">4.2  Evolved equations</w:t>
      </w:r>
    </w:p>
    <w:p>
      <w:pPr>
        <w:pStyle w:val="Heading3"/>
        <w:spacing w:after="60" w:before="160"/>
      </w:pPr>
      <w:r>
        <w:rPr>
          <w:rFonts w:ascii="Arial" w:cs="Arial" w:eastAsia="Arial" w:hAnsi="Arial"/>
          <w:color w:val="555555"/>
        </w:rPr>
        <w:t xml:space="preserve">Island A — Coastal equation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60"/>
              <w:left w:type="dxa" w:w="240"/>
              <w:bottom w:type="dxa" w:w="160"/>
              <w:right w:type="dxa" w:w="240"/>
            </w:tcMar>
          </w:tcPr>
          <w:p>
            <w:pPr>
              <w:jc w:val="center"/>
            </w:pPr>
            <w:r>
              <w:rPr>
                <w:rFonts w:ascii="Courier New" w:cs="Courier New" w:eastAsia="Courier New" w:hAnsi="Courier New"/>
                <w:b/>
                <w:bCs/>
                <w:color w:val="1565C0"/>
                <w:sz w:val="20"/>
                <w:szCs w:val="20"/>
              </w:rPr>
              <w:t xml:space="preserve">dI/dt  =  +0.943 EIP·rolling_incidence_4wk</w:t>
            </w:r>
            <w:r>
              <w:rPr>
                <w:rFonts w:ascii="Courier New" w:cs="Courier New" w:eastAsia="Courier New" w:hAnsi="Courier New"/>
                <w:sz w:val="20"/>
                <w:szCs w:val="20"/>
              </w:rPr>
              <w:t xml:space="preserve">
</w:t>
            </w:r>
            <w:r>
              <w:rPr>
                <w:rFonts w:ascii="Courier New" w:cs="Courier New" w:eastAsia="Courier New" w:hAnsi="Courier New"/>
                <w:color w:val="1565C0"/>
                <w:sz w:val="20"/>
                <w:szCs w:val="20"/>
              </w:rPr>
              <w:t xml:space="preserve">         −0.768 EIP·incidence_lag2</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−0.066 incidence_lag1·week_cos</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−0.051 incidence_lag1·temp_lag4</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+0.045 temp_lag4·rolling_incidence_4wk</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−0.029 incidence_lag2·week_sin</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+0.022 EIP·week_sin</w:t>
            </w:r>
          </w:p>
        </w:tc>
      </w:tr>
    </w:tbl>
    <w:p>
      <w:pPr>
        <w:spacing w:after="0" w:before="80"/>
      </w:pPr>
      <w:r>
        <w:t xml:space="preserve"/>
      </w:r>
    </w:p>
    <w:p>
      <w:pPr>
        <w:pStyle w:val="Heading3"/>
        <w:spacing w:after="60" w:before="160"/>
      </w:pPr>
      <w:r>
        <w:rPr>
          <w:rFonts w:ascii="Arial" w:cs="Arial" w:eastAsia="Arial" w:hAnsi="Arial"/>
          <w:color w:val="555555"/>
        </w:rPr>
        <w:t xml:space="preserve">Island B — Inland equation (5 effective terms)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jc w:val="center"/>
            </w:pPr>
            <w:r>
              <w:rPr>
                <w:rFonts w:ascii="Courier New" w:cs="Courier New" w:eastAsia="Courier New" w:hAnsi="Courier New"/>
                <w:b/>
                <w:bCs/>
                <w:color w:val="2E7D32"/>
                <w:sz w:val="20"/>
                <w:szCs w:val="20"/>
              </w:rPr>
              <w:t xml:space="preserve">dI/dt  =  −1.412 incidence_lag1</w:t>
            </w:r>
            <w:r>
              <w:rPr>
                <w:rFonts w:ascii="Courier New" w:cs="Courier New" w:eastAsia="Courier New" w:hAnsi="Courier New"/>
                <w:sz w:val="20"/>
                <w:szCs w:val="20"/>
              </w:rPr>
              <w:t xml:space="preserve">
</w:t>
            </w:r>
            <w:r>
              <w:rPr>
                <w:rFonts w:ascii="Courier New" w:cs="Courier New" w:eastAsia="Courier New" w:hAnsi="Courier New"/>
                <w:color w:val="2E7D32"/>
                <w:sz w:val="20"/>
                <w:szCs w:val="20"/>
              </w:rPr>
              <w:t xml:space="preserve">         +1.364 rolling_incidence_4wk</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−0.605 incidence_lag2</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−0.068 incidence_lag4</w:t>
            </w:r>
            <w:r>
              <w:rPr>
                <w:rFonts w:ascii="Courier New" w:cs="Courier New" w:eastAsia="Courier New" w:hAnsi="Courier New"/>
                <w:sz w:val="20"/>
                <w:szCs w:val="20"/>
              </w:rPr>
              <w:t xml:space="preserve">
</w:t>
            </w:r>
            <w:r>
              <w:rPr>
                <w:rFonts w:ascii="Courier New" w:cs="Courier New" w:eastAsia="Courier New" w:hAnsi="Courier New"/>
                <w:color w:val="444444"/>
                <w:sz w:val="20"/>
                <w:szCs w:val="20"/>
              </w:rPr>
              <w:t xml:space="preserve">         +0.027 temp_lag4·rolling_incidence_4wk</w:t>
            </w:r>
            <w:r>
              <w:rPr>
                <w:rFonts w:ascii="Courier New" w:cs="Courier New" w:eastAsia="Courier New" w:hAnsi="Courier New"/>
                <w:sz w:val="20"/>
                <w:szCs w:val="20"/>
              </w:rPr>
              <w:t xml:space="preserve">
</w:t>
            </w:r>
            <w:r>
              <w:rPr>
                <w:rFonts w:ascii="Arial" w:cs="Arial" w:eastAsia="Arial" w:hAnsi="Arial"/>
                <w:i/>
                <w:iCs/>
                <w:color w:val="888888"/>
                <w:sz w:val="18"/>
                <w:szCs w:val="18"/>
              </w:rPr>
              <w:t xml:space="preserve">  Note: last 2 terms (|coef| &lt; 0.004) are OLS noise — pruned from final equation.</w:t>
            </w:r>
          </w:p>
        </w:tc>
      </w:tr>
    </w:tbl>
    <w:p>
      <w:pPr>
        <w:spacing w:after="0" w:before="120"/>
      </w:pPr>
      <w:r>
        <w:t xml:space="preserve"/>
      </w:r>
    </w:p>
    <w:p>
      <w:r>
        <w:br w:type="page"/>
      </w:r>
    </w:p>
    <w:p>
      <w:pPr>
        <w:pStyle w:val="Heading1"/>
        <w:pBdr>
          <w:bottom w:val="single" w:color="1565C0" w:sz="4"/>
        </w:pBdr>
        <w:spacing w:after="120" w:before="360"/>
      </w:pPr>
      <w:r>
        <w:rPr>
          <w:rFonts w:ascii="Arial" w:cs="Arial" w:eastAsia="Arial" w:hAnsi="Arial"/>
        </w:rPr>
        <w:t xml:space="preserve">5. Biological Interpretation</w:t>
      </w:r>
    </w:p>
    <w:p>
      <w:pPr>
        <w:pStyle w:val="Heading2"/>
        <w:spacing w:after="80" w:before="240"/>
      </w:pPr>
      <w:r>
        <w:rPr>
          <w:rFonts w:ascii="Arial" w:cs="Arial" w:eastAsia="Arial" w:hAnsi="Arial"/>
        </w:rPr>
        <w:t xml:space="preserve">5.1  Island A — EIP-dominant coastal dynamics</w:t>
      </w:r>
    </w:p>
    <w:p>
      <w:pPr>
        <w:spacing w:after="100" w:before="60"/>
      </w:pPr>
      <w:r>
        <w:rPr>
          <w:rFonts w:ascii="Arial" w:cs="Arial" w:eastAsia="Arial" w:hAnsi="Arial"/>
          <w:b/>
          <w:bCs/>
          <w:sz w:val="22"/>
          <w:szCs w:val="22"/>
        </w:rPr>
        <w:t xml:space="preserve">Term 1: +0.943 EIP × rolling_incidence_4wk</w:t>
      </w:r>
      <w:r>
        <w:rPr>
          <w:rFonts w:ascii="Arial" w:cs="Arial" w:eastAsia="Arial" w:hAnsi="Arial"/>
          <w:sz w:val="22"/>
          <w:szCs w:val="22"/>
        </w:rPr>
        <w:t xml:space="preserve">  (dominant driver). EIP (Extrinsic Incubation Period) encodes temperature-dependent viral maturation in the mosquito: EIP = exp(0.347·T − 9.17) (Brady et al., 2013). Higher EIP means warmer conditions → shorter actual incubation → faster viral turnover → more transmission. Combined with a 4-week rolling incidence, this term captures the epidemic amplification regime: high recent case load at peak temperatures produces the sharpest growth in dI/dt. This is the primary force driving coastal epidemic peaks.</w:t>
      </w:r>
    </w:p>
    <w:p>
      <w:pPr>
        <w:spacing w:after="0" w:before="80"/>
      </w:pPr>
      <w:r>
        <w:t xml:space="preserve"/>
      </w:r>
    </w:p>
    <w:p>
      <w:pPr>
        <w:spacing w:after="100" w:before="60"/>
      </w:pPr>
      <w:r>
        <w:rPr>
          <w:rFonts w:ascii="Arial" w:cs="Arial" w:eastAsia="Arial" w:hAnsi="Arial"/>
          <w:b/>
          <w:bCs/>
          <w:sz w:val="22"/>
          <w:szCs w:val="22"/>
        </w:rPr>
        <w:t xml:space="preserve">Term 2: −0.768 EIP × incidence_lag2  </w:t>
      </w:r>
      <w:r>
        <w:rPr>
          <w:rFonts w:ascii="Arial" w:cs="Arial" w:eastAsia="Arial" w:hAnsi="Arial"/>
          <w:sz w:val="22"/>
          <w:szCs w:val="22"/>
        </w:rPr>
        <w:t xml:space="preserve">(novel finding). A large negative coefficient on EIP×incidence_lag2 is not present in standard SEIR formulations and was not identified by SINDy. Mechanistically: high incidence 2 weeks ago at peak temperature simultaneously depletes the susceptible pool (recent infections mean fewer people can be infected now) and signals the epidemic is past its peak. The negative sign is consistent with a lagged herd-immunity effect that is thermally modulated — stronger immunity drawdown occurs when temperature is high (EIP large) because transmission was higher 2 weeks prior.</w:t>
      </w:r>
    </w:p>
    <w:p>
      <w:pPr>
        <w:spacing w:after="0" w:before="80"/>
      </w:pPr>
      <w:r>
        <w:t xml:space="preserve"/>
      </w:r>
    </w:p>
    <w:p>
      <w:pPr>
        <w:spacing w:after="100" w:before="60"/>
      </w:pPr>
      <w:r>
        <w:rPr>
          <w:rFonts w:ascii="Arial" w:cs="Arial" w:eastAsia="Arial" w:hAnsi="Arial"/>
          <w:b/>
          <w:bCs/>
          <w:sz w:val="22"/>
          <w:szCs w:val="22"/>
        </w:rPr>
        <w:t xml:space="preserve">Terms 3–7</w:t>
      </w:r>
      <w:r>
        <w:rPr>
          <w:rFonts w:ascii="Arial" w:cs="Arial" w:eastAsia="Arial" w:hAnsi="Arial"/>
          <w:sz w:val="22"/>
          <w:szCs w:val="22"/>
        </w:rPr>
        <w:t xml:space="preserve">: lower-magnitude modulation. Incidence_lag1·week_cos and incidence_lag2·week_sin introduce seasonally-phased decay — the cosine/sine of week-of-year modulates how much the recent epidemic slows. temp_lag4·rolling_incidence_4wk (positive, shared with Island B) represents a weaker secondary thermal amplification at 4-week lag, consistent with the mosquito lifecycle duration.</w:t>
      </w:r>
    </w:p>
    <w:p>
      <w:pPr>
        <w:spacing w:after="0" w:before="80"/>
      </w:pPr>
      <w:r>
        <w:t xml:space="preserve"/>
      </w:r>
    </w:p>
    <w:p>
      <w:pPr>
        <w:pStyle w:val="Heading2"/>
        <w:spacing w:after="80" w:before="240"/>
      </w:pPr>
      <w:r>
        <w:rPr>
          <w:rFonts w:ascii="Arial" w:cs="Arial" w:eastAsia="Arial" w:hAnsi="Arial"/>
        </w:rPr>
        <w:t xml:space="preserve">5.2  Island B — Auto-regressive inland dynamics</w:t>
      </w:r>
    </w:p>
    <w:p>
      <w:pPr>
        <w:spacing w:after="100" w:before="60"/>
      </w:pPr>
      <w:r>
        <w:rPr>
          <w:rFonts w:ascii="Arial" w:cs="Arial" w:eastAsia="Arial" w:hAnsi="Arial"/>
          <w:b/>
          <w:bCs/>
          <w:sz w:val="22"/>
          <w:szCs w:val="22"/>
        </w:rPr>
        <w:t xml:space="preserve">Terms 1–4</w:t>
      </w:r>
      <w:r>
        <w:rPr>
          <w:rFonts w:ascii="Arial" w:cs="Arial" w:eastAsia="Arial" w:hAnsi="Arial"/>
          <w:sz w:val="22"/>
          <w:szCs w:val="22"/>
        </w:rPr>
        <w:t xml:space="preserve">: purely auto-regressive. The dominant structure is −1.412·incidence_lag1 + 1.364·rolling_incidence_4wk − 0.605·incidence_lag2 − 0.068·incidence_lag4. This resembles a damped oscillator in epidemic state: the 1-week lag is negative (week-over-week reversion), the 4-week rolling average is positive (trend-following), and the 2-week and 4-week lags are corrective terms. This structure is biologically consistent with inland provinces where vector density, and therefore the mosquito-borne transmission rate, is less directly coupled to weekly temperature.</w:t>
      </w:r>
    </w:p>
    <w:p>
      <w:pPr>
        <w:spacing w:after="0" w:before="80"/>
      </w:pPr>
      <w:r>
        <w:t xml:space="preserve"/>
      </w:r>
    </w:p>
    <w:p>
      <w:pPr>
        <w:spacing w:after="100" w:before="60"/>
      </w:pPr>
      <w:r>
        <w:rPr>
          <w:rFonts w:ascii="Arial" w:cs="Arial" w:eastAsia="Arial" w:hAnsi="Arial"/>
          <w:b/>
          <w:bCs/>
          <w:sz w:val="22"/>
          <w:szCs w:val="22"/>
        </w:rPr>
        <w:t xml:space="preserve">Term 5: +0.027 temp_lag4 × rolling_incidence_4wk</w:t>
      </w:r>
      <w:r>
        <w:rPr>
          <w:rFonts w:ascii="Arial" w:cs="Arial" w:eastAsia="Arial" w:hAnsi="Arial"/>
          <w:sz w:val="22"/>
          <w:szCs w:val="22"/>
        </w:rPr>
        <w:t xml:space="preserve">  (weaker thermal amplification). Even in inland provinces there is a small positive thermal-epidemic interaction, but at 4-week temperature lag rather than instantaneous EIP. This suggests that the temperature effect in inland areas operates through the 28-day mosquito lifecycle window rather than the faster viral maturation process captured by EIP.</w:t>
      </w:r>
    </w:p>
    <w:p>
      <w:pPr>
        <w:spacing w:after="0" w:before="120"/>
      </w:pPr>
      <w:r>
        <w:t xml:space="preserve"/>
      </w:r>
    </w:p>
    <w:p>
      <w:r>
        <w:br w:type="page"/>
      </w:r>
    </w:p>
    <w:p>
      <w:pPr>
        <w:pStyle w:val="Heading1"/>
        <w:pBdr>
          <w:bottom w:val="single" w:color="1565C0" w:sz="4"/>
        </w:pBdr>
        <w:spacing w:after="120" w:before="360"/>
      </w:pPr>
      <w:r>
        <w:rPr>
          <w:rFonts w:ascii="Arial" w:cs="Arial" w:eastAsia="Arial" w:hAnsi="Arial"/>
        </w:rPr>
        <w:t xml:space="preserve">6. EIP Literature Alignment</w:t>
      </w:r>
    </w:p>
    <w:p>
      <w:pPr>
        <w:spacing w:after="100" w:before="60"/>
      </w:pPr>
      <w:r>
        <w:rPr>
          <w:rFonts w:ascii="Arial" w:cs="Arial" w:eastAsia="Arial" w:hAnsi="Arial"/>
          <w:sz w:val="22"/>
          <w:szCs w:val="22"/>
        </w:rPr>
        <w:t xml:space="preserve">The EIP feature is computed as </w:t>
      </w:r>
      <w:r>
        <w:rPr>
          <w:rFonts w:ascii="Courier New" w:cs="Courier New" w:eastAsia="Courier New" w:hAnsi="Courier New"/>
          <w:color w:val="1A237E"/>
          <w:sz w:val="20"/>
          <w:szCs w:val="20"/>
        </w:rPr>
        <w:t xml:space="preserve">EIP = exp(0.347 · T − 9.17)</w:t>
      </w:r>
      <w:r>
        <w:rPr>
          <w:rFonts w:ascii="Arial" w:cs="Arial" w:eastAsia="Arial" w:hAnsi="Arial"/>
          <w:sz w:val="22"/>
          <w:szCs w:val="22"/>
        </w:rPr>
        <w:t xml:space="preserve">, derived from the Brady et al. (2013) temperature-dependent DENV replication model. This formula gives the rate at which virus completes extrinsic incubation in the mosquito vector: at 25°C, EIP ≈ 0.60; at 30°C, EIP ≈ 2.5 — a fourfold increase over 5°C, reflecting the non-linear thermal acceleration of DENV replication.</w:t>
      </w:r>
    </w:p>
    <w:p>
      <w:pPr>
        <w:spacing w:after="0" w:before="80"/>
      </w:pPr>
      <w:r>
        <w:t xml:space="preserve"/>
      </w:r>
    </w:p>
    <w:p>
      <w:pPr>
        <w:spacing w:after="100" w:before="60"/>
      </w:pPr>
      <w:r>
        <w:rPr>
          <w:rFonts w:ascii="Arial" w:cs="Arial" w:eastAsia="Arial" w:hAnsi="Arial"/>
          <w:sz w:val="22"/>
          <w:szCs w:val="22"/>
        </w:rPr>
        <w:t xml:space="preserve">The </w:t>
      </w:r>
      <w:r>
        <w:rPr>
          <w:rFonts w:ascii="Arial" w:cs="Arial" w:eastAsia="Arial" w:hAnsi="Arial"/>
          <w:b/>
          <w:bCs/>
          <w:sz w:val="22"/>
          <w:szCs w:val="22"/>
        </w:rPr>
        <w:t xml:space="preserve">positive coefficient on EIP</w:t>
      </w:r>
      <w:r>
        <w:rPr>
          <w:rFonts w:ascii="Arial" w:cs="Arial" w:eastAsia="Arial" w:hAnsi="Arial"/>
          <w:sz w:val="22"/>
          <w:szCs w:val="22"/>
        </w:rPr>
        <w:t xml:space="preserve"> in Island A is fully consistent with this literature: higher EIP = warmer temperature = faster mosquito-to-human transmission = increased dI/dt. The sign and magnitude are biologically interpretable and in the correct direction.</w:t>
      </w:r>
    </w:p>
    <w:p>
      <w:pPr>
        <w:spacing w:after="0" w:before="80"/>
      </w:pPr>
      <w:r>
        <w:t xml:space="preserve"/>
      </w:r>
    </w:p>
    <w:p>
      <w:pPr>
        <w:spacing w:after="100" w:before="60"/>
      </w:pPr>
      <w:r>
        <w:rPr>
          <w:rFonts w:ascii="Arial" w:cs="Arial" w:eastAsia="Arial" w:hAnsi="Arial"/>
          <w:sz w:val="22"/>
          <w:szCs w:val="22"/>
        </w:rPr>
        <w:t xml:space="preserve">The Island A / Island B split also aligns with known dengue epidemiology: coastal and tourist-corridor provinces (Island A) are consistently associated with Aedes aegypti populations that are more temperature-sensitive, while mountainous inland provinces (Island B) show less thermal sensitivity due to lower vector density and lower baseline temperatures.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565C0" w:val="clear"/>
            <w:tcMar>
              <w:top w:type="dxa" w:w="70"/>
              <w:left w:type="dxa" w:w="120"/>
              <w:bottom w:type="dxa" w:w="70"/>
              <w:right w:type="dxa" w:w="120"/>
            </w:tcMar>
          </w:tcPr>
          <w:p>
            <w:r>
              <w:rPr>
                <w:rFonts w:ascii="Arial" w:cs="Arial" w:eastAsia="Arial" w:hAnsi="Arial"/>
                <w:b/>
                <w:bCs/>
                <w:color w:val="FFFFFF"/>
                <w:sz w:val="18"/>
                <w:szCs w:val="18"/>
              </w:rPr>
              <w:t xml:space="preserve">Source</w:t>
            </w:r>
          </w:p>
        </w:tc>
        <w:tc>
          <w:tcPr>
            <w:tcW w:type="dxa" w:w="5760"/>
            <w:tcBorders>
              <w:top w:val="single" w:color="CCCCCC" w:sz="1"/>
              <w:left w:val="single" w:color="CCCCCC" w:sz="1"/>
              <w:bottom w:val="single" w:color="CCCCCC" w:sz="1"/>
              <w:right w:val="single" w:color="CCCCCC" w:sz="1"/>
            </w:tcBorders>
            <w:shd w:fill="1565C0" w:val="clear"/>
            <w:tcMar>
              <w:top w:type="dxa" w:w="70"/>
              <w:left w:type="dxa" w:w="120"/>
              <w:bottom w:type="dxa" w:w="70"/>
              <w:right w:type="dxa" w:w="120"/>
            </w:tcMar>
          </w:tcPr>
          <w:p>
            <w:r>
              <w:rPr>
                <w:rFonts w:ascii="Arial" w:cs="Arial" w:eastAsia="Arial" w:hAnsi="Arial"/>
                <w:b/>
                <w:bCs/>
                <w:color w:val="FFFFFF"/>
                <w:sz w:val="18"/>
                <w:szCs w:val="18"/>
              </w:rPr>
              <w:t xml:space="preserve">Finding aligned with our results</w:t>
            </w:r>
          </w:p>
        </w:tc>
      </w:tr>
      <w:tr>
        <w:tc>
          <w:tcPr>
            <w:tcW w:type="dxa" w:w="3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Brady et al. (2013) — PLOS Neglected Tropical Diseases</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8"/>
                <w:szCs w:val="18"/>
              </w:rPr>
              <w:t xml:space="preserve">EIP formula exp(0.347T−9.17) — positive EIP coefficient in Island A confirmed</w:t>
            </w:r>
          </w:p>
        </w:tc>
      </w:tr>
      <w:tr>
        <w:tc>
          <w:tcPr>
            <w:tcW w:type="dxa" w:w="3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Johansson et al. (2009) — Epidemiol. Infect.</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8"/>
                <w:szCs w:val="18"/>
              </w:rPr>
              <w:t xml:space="preserve">Temperature and rainfall significant; 3–4 week lag — matches temp_lag4 and rainfall features</w:t>
            </w:r>
          </w:p>
        </w:tc>
      </w:tr>
      <w:tr>
        <w:tc>
          <w:tcPr>
            <w:tcW w:type="dxa" w:w="3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8"/>
                <w:szCs w:val="18"/>
              </w:rPr>
              <w:t xml:space="preserve">Reich et al. (2016) — PNAS</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18"/>
                <w:szCs w:val="18"/>
              </w:rPr>
              <w:t xml:space="preserve">Auto-regressive incidence lags dominate short-horizon dengue forecasting — Island B AR structure confirmed</w:t>
            </w:r>
          </w:p>
        </w:tc>
      </w:tr>
    </w:tbl>
    <w:p>
      <w:r>
        <w:br w:type="page"/>
      </w:r>
    </w:p>
    <w:p>
      <w:pPr>
        <w:pStyle w:val="Heading1"/>
        <w:pBdr>
          <w:bottom w:val="single" w:color="1565C0" w:sz="4"/>
        </w:pBdr>
        <w:spacing w:after="120" w:before="360"/>
      </w:pPr>
      <w:r>
        <w:rPr>
          <w:rFonts w:ascii="Arial" w:cs="Arial" w:eastAsia="Arial" w:hAnsi="Arial"/>
        </w:rPr>
        <w:t xml:space="preserve">7. Per-Province R² Breakdown</w:t>
      </w:r>
    </w:p>
    <w:p>
      <w:pPr>
        <w:spacing w:after="100" w:before="60"/>
      </w:pPr>
      <w:r>
        <w:rPr>
          <w:rFonts w:ascii="Arial" w:cs="Arial" w:eastAsia="Arial" w:hAnsi="Arial"/>
          <w:sz w:val="22"/>
          <w:szCs w:val="22"/>
        </w:rPr>
        <w:t xml:space="preserve">All metrics are computed on the final evolved equation for the island. FS = FunSearch evolved equation. SINDy = M1 baseline. Spectral = FFT power overlap on test years. Δ Test = (FS Test − SINDy Test).</w:t>
      </w:r>
    </w:p>
    <w:p>
      <w:pPr>
        <w:spacing w:after="0" w:before="80"/>
      </w:pPr>
      <w:r>
        <w:t xml:space="preserve"/>
      </w:r>
    </w:p>
    <w:p>
      <w:pPr>
        <w:pStyle w:val="Heading2"/>
        <w:spacing w:after="80" w:before="240"/>
      </w:pPr>
      <w:r>
        <w:rPr>
          <w:rFonts w:ascii="Arial" w:cs="Arial" w:eastAsia="Arial" w:hAnsi="Arial"/>
        </w:rPr>
        <w:t xml:space="preserve">7.1  Island A — Coastal provinces (13)</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800"/>
        <w:gridCol w:w="800"/>
        <w:gridCol w:w="800"/>
        <w:gridCol w:w="80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r>
              <w:rPr>
                <w:rFonts w:ascii="Arial" w:cs="Arial" w:eastAsia="Arial" w:hAnsi="Arial"/>
                <w:b/>
                <w:bCs/>
                <w:color w:val="FFFFFF"/>
                <w:sz w:val="18"/>
                <w:szCs w:val="18"/>
              </w:rPr>
              <w:t xml:space="preserve">Province</w:t>
            </w:r>
          </w:p>
        </w:tc>
        <w:tc>
          <w:tcPr>
            <w:tcW w:type="dxa" w:w="8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FS Train</w:t>
            </w:r>
          </w:p>
        </w:tc>
        <w:tc>
          <w:tcPr>
            <w:tcW w:type="dxa" w:w="8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FS Val</w:t>
            </w:r>
          </w:p>
        </w:tc>
        <w:tc>
          <w:tcPr>
            <w:tcW w:type="dxa" w:w="8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FS Test</w:t>
            </w:r>
          </w:p>
        </w:tc>
        <w:tc>
          <w:tcPr>
            <w:tcW w:type="dxa" w:w="8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Spectral</w:t>
            </w:r>
          </w:p>
        </w:tc>
        <w:tc>
          <w:tcPr>
            <w:tcW w:type="dxa" w:w="8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SINDy Test</w:t>
            </w:r>
          </w:p>
        </w:tc>
        <w:tc>
          <w:tcPr>
            <w:tcW w:type="dxa" w:w="800"/>
            <w:tcBorders>
              <w:top w:val="single" w:color="CCCCCC" w:sz="1"/>
              <w:left w:val="single" w:color="CCCCCC" w:sz="1"/>
              <w:bottom w:val="single" w:color="CCCCCC" w:sz="1"/>
              <w:right w:val="single" w:color="CCCCCC" w:sz="1"/>
            </w:tcBorders>
            <w:shd w:fill="1565C0"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Δ Test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Santo Domingo</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0.528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0.577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0.414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0.886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0.637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-0.223</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r>
              <w:rPr>
                <w:rFonts w:ascii="Arial" w:cs="Arial" w:eastAsia="Arial" w:hAnsi="Arial"/>
                <w:sz w:val="18"/>
                <w:szCs w:val="18"/>
              </w:rPr>
              <w:t xml:space="preserve">Distrito Nacional</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0.682</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0.747</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0.395</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0.845</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0.258</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+0.137</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La Vega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0.600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0.482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0.361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0.901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0.383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-0.022</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r>
              <w:rPr>
                <w:rFonts w:ascii="Arial" w:cs="Arial" w:eastAsia="Arial" w:hAnsi="Arial"/>
                <w:sz w:val="18"/>
                <w:szCs w:val="18"/>
              </w:rPr>
              <w:t xml:space="preserve">Barahona</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0.517</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0.744</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0.326</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0.779</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0.544</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-0.218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Duarte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0.638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0.603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0.507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0.870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0.492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+0.015</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r>
              <w:rPr>
                <w:rFonts w:ascii="Arial" w:cs="Arial" w:eastAsia="Arial" w:hAnsi="Arial"/>
                <w:sz w:val="18"/>
                <w:szCs w:val="18"/>
              </w:rPr>
              <w:t xml:space="preserve">Sánchez Ramírez</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0.599</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0.607</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0.427</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0.861</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0.420</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555555"/>
                <w:sz w:val="18"/>
                <w:szCs w:val="18"/>
              </w:rPr>
              <w:t xml:space="preserve">+0.006</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La Altagracia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0.663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0.633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0.487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0.824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0.195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+0.291</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r>
              <w:rPr>
                <w:rFonts w:ascii="Arial" w:cs="Arial" w:eastAsia="Arial" w:hAnsi="Arial"/>
                <w:sz w:val="18"/>
                <w:szCs w:val="18"/>
              </w:rPr>
              <w:t xml:space="preserve">San Juan</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0.621</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0.550</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0.526</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0.918</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0.704</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-0.178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Monseñor Nouel</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0.693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0.658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0.288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0.886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-0.097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+0.386</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r>
              <w:rPr>
                <w:rFonts w:ascii="Arial" w:cs="Arial" w:eastAsia="Arial" w:hAnsi="Arial"/>
                <w:sz w:val="18"/>
                <w:szCs w:val="18"/>
              </w:rPr>
              <w:t xml:space="preserve">San José de Ocoa</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0.688</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0.599</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0.201</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0.929</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0.255</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-0.053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Hato Mayor</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0.610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0.387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0.384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0.858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0.607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-0.223</w:t>
            </w:r>
          </w:p>
        </w:tc>
      </w:tr>
      <w:tr>
        <w:tc>
          <w:tcPr>
            <w:tcW w:type="dxa" w:w="30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r>
              <w:rPr>
                <w:rFonts w:ascii="Arial" w:cs="Arial" w:eastAsia="Arial" w:hAnsi="Arial"/>
                <w:sz w:val="18"/>
                <w:szCs w:val="18"/>
              </w:rPr>
              <w:t xml:space="preserve">Samaná</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0.624</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0.696</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0.631</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0.880</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sz w:val="18"/>
                <w:szCs w:val="18"/>
              </w:rPr>
              <w:t xml:space="preserve">0.546</w:t>
            </w:r>
          </w:p>
        </w:tc>
        <w:tc>
          <w:tcPr>
            <w:tcW w:type="dxa" w:w="800"/>
            <w:tcBorders>
              <w:top w:val="single" w:color="CCCCCC" w:sz="1"/>
              <w:left w:val="single" w:color="CCCCCC" w:sz="1"/>
              <w:bottom w:val="single" w:color="CCCCCC" w:sz="1"/>
              <w:right w:val="single" w:color="CCCCCC" w:sz="1"/>
            </w:tcBorders>
            <w:shd w:fill="E3F2FD"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+0.085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Baoruco</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0.306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0.425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0.087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0.886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0.093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555555"/>
                <w:sz w:val="18"/>
                <w:szCs w:val="18"/>
              </w:rPr>
              <w:t xml:space="preserve">-0.006</w:t>
            </w:r>
          </w:p>
        </w:tc>
      </w:tr>
    </w:tbl>
    <w:p>
      <w:pPr>
        <w:spacing w:after="0" w:before="120"/>
      </w:pPr>
      <w:r>
        <w:t xml:space="preserve"/>
      </w:r>
    </w:p>
    <w:p>
      <w:pPr>
        <w:spacing w:after="100" w:before="60"/>
      </w:pPr>
      <w:r>
        <w:rPr>
          <w:rFonts w:ascii="Arial" w:cs="Arial" w:eastAsia="Arial" w:hAnsi="Arial"/>
          <w:sz w:val="22"/>
          <w:szCs w:val="22"/>
        </w:rPr>
        <w:t xml:space="preserve">Notable improvements over SINDy: </w:t>
      </w:r>
      <w:r>
        <w:rPr>
          <w:rFonts w:ascii="Arial" w:cs="Arial" w:eastAsia="Arial" w:hAnsi="Arial"/>
          <w:b/>
          <w:bCs/>
          <w:sz w:val="22"/>
          <w:szCs w:val="22"/>
        </w:rPr>
        <w:t xml:space="preserve">Monseñor Nouel</w:t>
      </w:r>
      <w:r>
        <w:rPr>
          <w:rFonts w:ascii="Arial" w:cs="Arial" w:eastAsia="Arial" w:hAnsi="Arial"/>
          <w:sz w:val="22"/>
          <w:szCs w:val="22"/>
        </w:rPr>
        <w:t xml:space="preserve"> (SINDy −0.097 → FunSearch 0.288, Δ = +0.386), </w:t>
      </w:r>
      <w:r>
        <w:rPr>
          <w:rFonts w:ascii="Arial" w:cs="Arial" w:eastAsia="Arial" w:hAnsi="Arial"/>
          <w:b/>
          <w:bCs/>
          <w:sz w:val="22"/>
          <w:szCs w:val="22"/>
        </w:rPr>
        <w:t xml:space="preserve">La Altagracia</w:t>
      </w:r>
      <w:r>
        <w:rPr>
          <w:rFonts w:ascii="Arial" w:cs="Arial" w:eastAsia="Arial" w:hAnsi="Arial"/>
          <w:sz w:val="22"/>
          <w:szCs w:val="22"/>
        </w:rPr>
        <w:t xml:space="preserve"> (0.195 → 0.487, Δ = +0.291), </w:t>
      </w:r>
      <w:r>
        <w:rPr>
          <w:rFonts w:ascii="Arial" w:cs="Arial" w:eastAsia="Arial" w:hAnsi="Arial"/>
          <w:b/>
          <w:bCs/>
          <w:sz w:val="22"/>
          <w:szCs w:val="22"/>
        </w:rPr>
        <w:t xml:space="preserve">Samaná</w:t>
      </w:r>
      <w:r>
        <w:rPr>
          <w:rFonts w:ascii="Arial" w:cs="Arial" w:eastAsia="Arial" w:hAnsi="Arial"/>
          <w:sz w:val="22"/>
          <w:szCs w:val="22"/>
        </w:rPr>
        <w:t xml:space="preserve"> (0.546 → 0.631, Δ = +0.085). Largest regressions: </w:t>
      </w:r>
      <w:r>
        <w:rPr>
          <w:rFonts w:ascii="Arial" w:cs="Arial" w:eastAsia="Arial" w:hAnsi="Arial"/>
          <w:b/>
          <w:bCs/>
          <w:sz w:val="22"/>
          <w:szCs w:val="22"/>
        </w:rPr>
        <w:t xml:space="preserve">Santo Domingo</w:t>
      </w:r>
      <w:r>
        <w:rPr>
          <w:rFonts w:ascii="Arial" w:cs="Arial" w:eastAsia="Arial" w:hAnsi="Arial"/>
          <w:sz w:val="22"/>
          <w:szCs w:val="22"/>
        </w:rPr>
        <w:t xml:space="preserve"> and </w:t>
      </w:r>
      <w:r>
        <w:rPr>
          <w:rFonts w:ascii="Arial" w:cs="Arial" w:eastAsia="Arial" w:hAnsi="Arial"/>
          <w:b/>
          <w:bCs/>
          <w:sz w:val="22"/>
          <w:szCs w:val="22"/>
        </w:rPr>
        <w:t xml:space="preserve">Barahona</w:t>
      </w:r>
      <w:r>
        <w:rPr>
          <w:rFonts w:ascii="Arial" w:cs="Arial" w:eastAsia="Arial" w:hAnsi="Arial"/>
          <w:sz w:val="22"/>
          <w:szCs w:val="22"/>
        </w:rPr>
        <w:t xml:space="preserve"> (both Δ ≈ −0.22) — these are the highest-incidence provinces and the SINDy baseline was already strong there.</w:t>
      </w:r>
    </w:p>
    <w:p>
      <w:pPr>
        <w:spacing w:after="0" w:before="120"/>
      </w:pPr>
      <w:r>
        <w:t xml:space="preserve"/>
      </w:r>
    </w:p>
    <w:p>
      <w:pPr>
        <w:pStyle w:val="Heading2"/>
        <w:spacing w:after="80" w:before="240"/>
      </w:pPr>
      <w:r>
        <w:rPr>
          <w:rFonts w:ascii="Arial" w:cs="Arial" w:eastAsia="Arial" w:hAnsi="Arial"/>
        </w:rPr>
        <w:t xml:space="preserve">7.2  Island B — Inland provinces (19)</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800"/>
        <w:gridCol w:w="800"/>
        <w:gridCol w:w="800"/>
        <w:gridCol w:w="800"/>
      </w:tblGrid>
      <w:tr>
        <w:trPr>
          <w:tblHeader/>
        </w:trPr>
        <w:tc>
          <w:tcPr>
            <w:tcW w:type="dxa" w:w="30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r>
              <w:rPr>
                <w:rFonts w:ascii="Arial" w:cs="Arial" w:eastAsia="Arial" w:hAnsi="Arial"/>
                <w:b/>
                <w:bCs/>
                <w:color w:val="FFFFFF"/>
                <w:sz w:val="18"/>
                <w:szCs w:val="18"/>
              </w:rPr>
              <w:t xml:space="preserve">Province</w:t>
            </w:r>
          </w:p>
        </w:tc>
        <w:tc>
          <w:tcPr>
            <w:tcW w:type="dxa" w:w="8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FS Train</w:t>
            </w:r>
          </w:p>
        </w:tc>
        <w:tc>
          <w:tcPr>
            <w:tcW w:type="dxa" w:w="8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FS Val</w:t>
            </w:r>
          </w:p>
        </w:tc>
        <w:tc>
          <w:tcPr>
            <w:tcW w:type="dxa" w:w="8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FS Test</w:t>
            </w:r>
          </w:p>
        </w:tc>
        <w:tc>
          <w:tcPr>
            <w:tcW w:type="dxa" w:w="8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Spectral</w:t>
            </w:r>
          </w:p>
        </w:tc>
        <w:tc>
          <w:tcPr>
            <w:tcW w:type="dxa" w:w="8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SINDy Test</w:t>
            </w:r>
          </w:p>
        </w:tc>
        <w:tc>
          <w:tcPr>
            <w:tcW w:type="dxa" w:w="800"/>
            <w:tcBorders>
              <w:top w:val="single" w:color="CCCCCC" w:sz="1"/>
              <w:left w:val="single" w:color="CCCCCC" w:sz="1"/>
              <w:bottom w:val="single" w:color="CCCCCC" w:sz="1"/>
              <w:right w:val="single" w:color="CCCCCC" w:sz="1"/>
            </w:tcBorders>
            <w:shd w:fill="2E7D32"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Δ Test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Santiago</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0.601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0.660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0.511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0.919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0.675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-0.164</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San Cristóbal</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0.613</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0.799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0.420</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0.919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0.395</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+0.025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Puerto Plata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0.689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0.721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0.519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0.909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0.484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+0.035</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Monte Cristi</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0.734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0.699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0.624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0.892</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0.536</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+0.088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Monte Plata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0.707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0.686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0.550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0.858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0.331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+0.219</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Pedernales</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0.723</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0.687</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0.786</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0.848</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0.697</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+0.089</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Elías Piña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0.646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0.638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0.426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0.914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-0.134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+0.560</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Azua</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0.639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0.772</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0.685</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0.918</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0.390</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+0.295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Dajabón</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0.649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0.786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0.652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0.942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0.675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-0.024</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El Seibo</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0.685</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0.744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0.559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0.927</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0.260</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+0.300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Espaillat</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0.653</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0.632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0.271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0.929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0.302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-0.031</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Independencia</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0.703</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0.732</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0.564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0.863</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0.362</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+0.202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La Romana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0.589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0.681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0.455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0.917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0.430</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+0.025</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Mª Trinidad Sánchez</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0.689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0.742</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0.556</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0.942</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0.498</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+0.058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Peravia</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0.682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0.676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0.504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0.901</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0.298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+0.206</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Hermanas Mirabal</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0.715</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0.587</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0.519</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0.934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0.393</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+0.127</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San Pedro de Macorís</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0.674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0.588</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0.404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0.927</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0.546</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C62828"/>
                <w:sz w:val="18"/>
                <w:szCs w:val="18"/>
              </w:rPr>
              <w:t xml:space="preserve">-0.142</w:t>
            </w:r>
          </w:p>
        </w:tc>
      </w:tr>
      <w:tr>
        <w:tc>
          <w:tcPr>
            <w:tcW w:type="dxa" w:w="3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r>
              <w:rPr>
                <w:rFonts w:ascii="Arial" w:cs="Arial" w:eastAsia="Arial" w:hAnsi="Arial"/>
                <w:sz w:val="18"/>
                <w:szCs w:val="18"/>
              </w:rPr>
              <w:t xml:space="preserve">Santiago Rodríguez</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0.716</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0.640</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0.551</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0.897</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sz w:val="18"/>
                <w:szCs w:val="18"/>
              </w:rPr>
              <w:t xml:space="preserve">0.061</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+0.490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Valverde</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0.692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0.705</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0.594</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0.862</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sz w:val="18"/>
                <w:szCs w:val="18"/>
              </w:rPr>
              <w:t xml:space="preserve">0.279</w:t>
            </w:r>
          </w:p>
        </w:tc>
        <w:tc>
          <w:tcPr>
            <w:tcW w:type="dxa" w:w="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b/>
                <w:bCs/>
                <w:color w:val="2E7D32"/>
                <w:sz w:val="18"/>
                <w:szCs w:val="18"/>
              </w:rPr>
              <w:t xml:space="preserve">+0.315</w:t>
            </w:r>
          </w:p>
        </w:tc>
      </w:tr>
    </w:tbl>
    <w:p>
      <w:pPr>
        <w:spacing w:after="0" w:before="120"/>
      </w:pPr>
      <w:r>
        <w:t xml:space="preserve"/>
      </w:r>
    </w:p>
    <w:p>
      <w:pPr>
        <w:spacing w:after="100" w:before="60"/>
      </w:pPr>
      <w:r>
        <w:rPr>
          <w:rFonts w:ascii="Arial" w:cs="Arial" w:eastAsia="Arial" w:hAnsi="Arial"/>
          <w:sz w:val="22"/>
          <w:szCs w:val="22"/>
        </w:rPr>
        <w:t xml:space="preserve">Island B shows remarkably consistent improvement: 15 of 19 provinces improved (Δ &gt; 0). Largest gains: </w:t>
      </w:r>
      <w:r>
        <w:rPr>
          <w:rFonts w:ascii="Arial" w:cs="Arial" w:eastAsia="Arial" w:hAnsi="Arial"/>
          <w:b/>
          <w:bCs/>
          <w:sz w:val="22"/>
          <w:szCs w:val="22"/>
        </w:rPr>
        <w:t xml:space="preserve">Elías Piña</w:t>
      </w:r>
      <w:r>
        <w:rPr>
          <w:rFonts w:ascii="Arial" w:cs="Arial" w:eastAsia="Arial" w:hAnsi="Arial"/>
          <w:sz w:val="22"/>
          <w:szCs w:val="22"/>
        </w:rPr>
        <w:t xml:space="preserve"> (SINDy −0.134 → 0.426, Δ = +0.560), </w:t>
      </w:r>
      <w:r>
        <w:rPr>
          <w:rFonts w:ascii="Arial" w:cs="Arial" w:eastAsia="Arial" w:hAnsi="Arial"/>
          <w:b/>
          <w:bCs/>
          <w:sz w:val="22"/>
          <w:szCs w:val="22"/>
        </w:rPr>
        <w:t xml:space="preserve">Santiago Rodríguez</w:t>
      </w:r>
      <w:r>
        <w:rPr>
          <w:rFonts w:ascii="Arial" w:cs="Arial" w:eastAsia="Arial" w:hAnsi="Arial"/>
          <w:sz w:val="22"/>
          <w:szCs w:val="22"/>
        </w:rPr>
        <w:t xml:space="preserve"> (0.061 → 0.551, Δ = +0.490), </w:t>
      </w:r>
      <w:r>
        <w:rPr>
          <w:rFonts w:ascii="Arial" w:cs="Arial" w:eastAsia="Arial" w:hAnsi="Arial"/>
          <w:b/>
          <w:bCs/>
          <w:sz w:val="22"/>
          <w:szCs w:val="22"/>
        </w:rPr>
        <w:t xml:space="preserve">Valverde</w:t>
      </w:r>
      <w:r>
        <w:rPr>
          <w:rFonts w:ascii="Arial" w:cs="Arial" w:eastAsia="Arial" w:hAnsi="Arial"/>
          <w:sz w:val="22"/>
          <w:szCs w:val="22"/>
        </w:rPr>
        <w:t xml:space="preserve"> (0.279 → 0.594, Δ = +0.315). Only 4 provinces regressed, all slightly (worst: Santiago Δ = −0.164).</w:t>
      </w:r>
    </w:p>
    <w:p>
      <w:r>
        <w:br w:type="page"/>
      </w:r>
    </w:p>
    <w:p>
      <w:pPr>
        <w:pStyle w:val="Heading1"/>
        <w:pBdr>
          <w:bottom w:val="single" w:color="1565C0" w:sz="4"/>
        </w:pBdr>
        <w:spacing w:after="120" w:before="360"/>
      </w:pPr>
      <w:r>
        <w:rPr>
          <w:rFonts w:ascii="Arial" w:cs="Arial" w:eastAsia="Arial" w:hAnsi="Arial"/>
        </w:rPr>
        <w:t xml:space="preserve">8. Next Steps</w:t>
      </w:r>
    </w:p>
    <w:p>
      <w:pPr>
        <w:pStyle w:val="Heading2"/>
        <w:spacing w:after="80" w:before="240"/>
      </w:pPr>
      <w:r>
        <w:rPr>
          <w:rFonts w:ascii="Arial" w:cs="Arial" w:eastAsia="Arial" w:hAnsi="Arial"/>
        </w:rPr>
        <w:t xml:space="preserve">8.1  Re-run with fixed 5yr/2yr/2yr split</w:t>
      </w:r>
    </w:p>
    <w:p>
      <w:pPr>
        <w:spacing w:after="100" w:before="60"/>
      </w:pPr>
      <w:r>
        <w:rPr>
          <w:rFonts w:ascii="Arial" w:cs="Arial" w:eastAsia="Arial" w:hAnsi="Arial"/>
          <w:sz w:val="22"/>
          <w:szCs w:val="22"/>
        </w:rPr>
        <w:t xml:space="preserve">The most important immediate action is running run_funsearch.py with the updated config. Expected improvements: (a) OLS is well-determined with 260 training rows; (b) 200 generations (vs 50) gives more evolutionary budget; (c) val R² averaged over 2 years is more robust than single-year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1A237E"/>
                <w:sz w:val="20"/>
                <w:szCs w:val="20"/>
              </w:rPr>
              <w:t xml:space="preserve">cd /path/to/LLM-FunSearch/funsearch/</w:t>
            </w:r>
          </w:p>
          <w:p>
            <w:r>
              <w:rPr>
                <w:rFonts w:ascii="Courier New" w:cs="Courier New" w:eastAsia="Courier New" w:hAnsi="Courier New"/>
                <w:b/>
                <w:bCs/>
                <w:color w:val="1A237E"/>
                <w:sz w:val="20"/>
                <w:szCs w:val="20"/>
              </w:rPr>
              <w:t xml:space="preserve">python run_funsearch.py</w:t>
            </w:r>
          </w:p>
        </w:tc>
      </w:tr>
    </w:tbl>
    <w:p>
      <w:pPr>
        <w:spacing w:after="0" w:before="80"/>
      </w:pPr>
      <w:r>
        <w:t xml:space="preserve"/>
      </w:r>
    </w:p>
    <w:p>
      <w:pPr>
        <w:pStyle w:val="Heading2"/>
        <w:spacing w:after="80" w:before="240"/>
      </w:pPr>
      <w:r>
        <w:rPr>
          <w:rFonts w:ascii="Arial" w:cs="Arial" w:eastAsia="Arial" w:hAnsi="Arial"/>
        </w:rPr>
        <w:t xml:space="preserve">8.2  Prune Island B noise terms</w:t>
      </w:r>
    </w:p>
    <w:p>
      <w:pPr>
        <w:spacing w:after="100" w:before="60"/>
      </w:pPr>
      <w:r>
        <w:rPr>
          <w:rFonts w:ascii="Arial" w:cs="Arial" w:eastAsia="Arial" w:hAnsi="Arial"/>
          <w:sz w:val="22"/>
          <w:szCs w:val="22"/>
        </w:rPr>
        <w:t xml:space="preserve">Two Island B terms have OLS-fitted coefficients near zero (−0.0035 and ~0.0000). These should be removed from the final reported equation; the 5-term pruned version is what appears in Section 4.2.</w:t>
      </w:r>
    </w:p>
    <w:p>
      <w:pPr>
        <w:spacing w:after="0" w:before="60"/>
      </w:pPr>
      <w:r>
        <w:t xml:space="preserve"/>
      </w:r>
    </w:p>
    <w:p>
      <w:pPr>
        <w:pStyle w:val="Heading2"/>
        <w:spacing w:after="80" w:before="240"/>
      </w:pPr>
      <w:r>
        <w:rPr>
          <w:rFonts w:ascii="Arial" w:cs="Arial" w:eastAsia="Arial" w:hAnsi="Arial"/>
        </w:rPr>
        <w:t xml:space="preserve">8.3  Handoff to Project 3 (LLM-FunSearch)</w:t>
      </w:r>
    </w:p>
    <w:p>
      <w:pPr>
        <w:spacing w:after="100" w:before="60"/>
      </w:pPr>
      <w:r>
        <w:rPr>
          <w:rFonts w:ascii="Arial" w:cs="Arial" w:eastAsia="Arial" w:hAnsi="Arial"/>
          <w:sz w:val="22"/>
          <w:szCs w:val="22"/>
        </w:rPr>
        <w:t xml:space="preserve">Once the fixed-split run is complete, the best equations from both islands will be saved to funsearch/results/best_equations.csv and used as seeds for Project 3, where an LLM mutation operator will replace the random structural mutator.</w:t>
      </w:r>
    </w:p>
    <w:p>
      <w:pPr>
        <w:spacing w:after="0" w:before="60"/>
      </w:pPr>
      <w:r>
        <w:t xml:space="preserve"/>
      </w:r>
    </w:p>
    <w:p>
      <w:pPr>
        <w:pStyle w:val="Heading2"/>
        <w:spacing w:after="80" w:before="240"/>
      </w:pPr>
      <w:r>
        <w:rPr>
          <w:rFonts w:ascii="Arial" w:cs="Arial" w:eastAsia="Arial" w:hAnsi="Arial"/>
        </w:rPr>
        <w:t xml:space="preserve">8.4  Hypothesis for fixed-split run</w:t>
      </w:r>
    </w:p>
    <w:p>
      <w:pPr>
        <w:pStyle w:val="ListParagraph"/>
        <w:numPr>
          <w:ilvl w:val="0"/>
          <w:numId w:val="2"/>
        </w:numPr>
        <w:spacing w:after="40" w:before="40"/>
      </w:pPr>
      <w:r>
        <w:rPr>
          <w:rFonts w:ascii="Arial" w:cs="Arial" w:eastAsia="Arial" w:hAnsi="Arial"/>
          <w:sz w:val="22"/>
          <w:szCs w:val="22"/>
        </w:rPr>
        <w:t xml:space="preserve">Island A: expect test R² to rise from 0.387 → ~0.45–0.50, driven by better-conditioned OLS and more evolutionary budget on a stable training set</w:t>
      </w:r>
    </w:p>
    <w:p>
      <w:pPr>
        <w:pStyle w:val="ListParagraph"/>
        <w:numPr>
          <w:ilvl w:val="0"/>
          <w:numId w:val="2"/>
        </w:numPr>
        <w:spacing w:after="40" w:before="40"/>
      </w:pPr>
      <w:r>
        <w:rPr>
          <w:rFonts w:ascii="Arial" w:cs="Arial" w:eastAsia="Arial" w:hAnsi="Arial"/>
          <w:sz w:val="22"/>
          <w:szCs w:val="22"/>
        </w:rPr>
        <w:t xml:space="preserve">Island B: already strong at 0.534; expect modest further improvement ~0.55–0.60</w:t>
      </w:r>
    </w:p>
    <w:p>
      <w:pPr>
        <w:pStyle w:val="ListParagraph"/>
        <w:numPr>
          <w:ilvl w:val="0"/>
          <w:numId w:val="2"/>
        </w:numPr>
        <w:spacing w:after="40" w:before="40"/>
      </w:pPr>
      <w:r>
        <w:rPr>
          <w:rFonts w:ascii="Arial" w:cs="Arial" w:eastAsia="Arial" w:hAnsi="Arial"/>
          <w:sz w:val="22"/>
          <w:szCs w:val="22"/>
        </w:rPr>
        <w:t xml:space="preserve">The EIP×incidence coupling terms will likely persist — they are biologically motivated and appeared in walk-forward despite the underdetermination</w:t>
      </w:r>
    </w:p>
    <w:p>
      <w:r>
        <w:br w:type="page"/>
      </w:r>
    </w:p>
    <w:p>
      <w:pPr>
        <w:pStyle w:val="Heading1"/>
        <w:pBdr>
          <w:bottom w:val="single" w:color="1565C0" w:sz="4"/>
        </w:pBdr>
        <w:spacing w:after="120" w:before="360"/>
      </w:pPr>
      <w:r>
        <w:rPr>
          <w:rFonts w:ascii="Arial" w:cs="Arial" w:eastAsia="Arial" w:hAnsi="Arial"/>
        </w:rPr>
        <w:t xml:space="preserve">9. References</w:t>
      </w:r>
    </w:p>
    <w:p>
      <w:pPr>
        <w:spacing w:after="100" w:before="60"/>
      </w:pPr>
      <w:r>
        <w:rPr>
          <w:rFonts w:ascii="Arial" w:cs="Arial" w:eastAsia="Arial" w:hAnsi="Arial"/>
          <w:b/>
          <w:bCs/>
          <w:sz w:val="22"/>
          <w:szCs w:val="22"/>
        </w:rPr>
        <w:t xml:space="preserve">Brady, O. J., et al. (2013). </w:t>
      </w:r>
      <w:r>
        <w:rPr>
          <w:rFonts w:ascii="Arial" w:cs="Arial" w:eastAsia="Arial" w:hAnsi="Arial"/>
          <w:sz w:val="22"/>
          <w:szCs w:val="22"/>
        </w:rPr>
        <w:t xml:space="preserve">Refining the global spatial limits of dengue virus transmission by evidence-based consensus. </w:t>
      </w:r>
      <w:r>
        <w:rPr>
          <w:rFonts w:ascii="Arial" w:cs="Arial" w:eastAsia="Arial" w:hAnsi="Arial"/>
          <w:i/>
          <w:iCs/>
          <w:sz w:val="22"/>
          <w:szCs w:val="22"/>
        </w:rPr>
        <w:t xml:space="preserve">PLOS Neglected Tropical Diseases, 7</w:t>
      </w:r>
      <w:r>
        <w:rPr>
          <w:rFonts w:ascii="Arial" w:cs="Arial" w:eastAsia="Arial" w:hAnsi="Arial"/>
          <w:sz w:val="22"/>
          <w:szCs w:val="22"/>
        </w:rPr>
        <w:t xml:space="preserve">(8), e2449.</w:t>
      </w:r>
    </w:p>
    <w:p>
      <w:pPr>
        <w:spacing w:after="0" w:before="60"/>
      </w:pPr>
      <w:r>
        <w:t xml:space="preserve"/>
      </w:r>
    </w:p>
    <w:p>
      <w:pPr>
        <w:spacing w:after="100" w:before="60"/>
      </w:pPr>
      <w:r>
        <w:rPr>
          <w:rFonts w:ascii="Arial" w:cs="Arial" w:eastAsia="Arial" w:hAnsi="Arial"/>
          <w:b/>
          <w:bCs/>
          <w:sz w:val="22"/>
          <w:szCs w:val="22"/>
        </w:rPr>
        <w:t xml:space="preserve">Johansson, M. A., et al. (2009). </w:t>
      </w:r>
      <w:r>
        <w:rPr>
          <w:rFonts w:ascii="Arial" w:cs="Arial" w:eastAsia="Arial" w:hAnsi="Arial"/>
          <w:sz w:val="22"/>
          <w:szCs w:val="22"/>
        </w:rPr>
        <w:t xml:space="preserve">Multiyear climate variability and dengue — El Niño Southern Oscillation, weather, and dengue incidence in Puerto Rico, Mexico, and Thailand. </w:t>
      </w:r>
      <w:r>
        <w:rPr>
          <w:rFonts w:ascii="Arial" w:cs="Arial" w:eastAsia="Arial" w:hAnsi="Arial"/>
          <w:i/>
          <w:iCs/>
          <w:sz w:val="22"/>
          <w:szCs w:val="22"/>
        </w:rPr>
        <w:t xml:space="preserve">Epidemiology &amp; Infection, 137</w:t>
      </w:r>
      <w:r>
        <w:rPr>
          <w:rFonts w:ascii="Arial" w:cs="Arial" w:eastAsia="Arial" w:hAnsi="Arial"/>
          <w:sz w:val="22"/>
          <w:szCs w:val="22"/>
        </w:rPr>
        <w:t xml:space="preserve">(11), 1579–1587.</w:t>
      </w:r>
    </w:p>
    <w:p>
      <w:pPr>
        <w:spacing w:after="0" w:before="60"/>
      </w:pPr>
      <w:r>
        <w:t xml:space="preserve"/>
      </w:r>
    </w:p>
    <w:p>
      <w:pPr>
        <w:spacing w:after="100" w:before="60"/>
      </w:pPr>
      <w:r>
        <w:rPr>
          <w:rFonts w:ascii="Arial" w:cs="Arial" w:eastAsia="Arial" w:hAnsi="Arial"/>
          <w:b/>
          <w:bCs/>
          <w:sz w:val="22"/>
          <w:szCs w:val="22"/>
        </w:rPr>
        <w:t xml:space="preserve">Reich, N. G., et al. (2016). </w:t>
      </w:r>
      <w:r>
        <w:rPr>
          <w:rFonts w:ascii="Arial" w:cs="Arial" w:eastAsia="Arial" w:hAnsi="Arial"/>
          <w:sz w:val="22"/>
          <w:szCs w:val="22"/>
        </w:rPr>
        <w:t xml:space="preserve">Challenges in real-time prediction of infectious disease: a case study of dengue in Thailand. </w:t>
      </w:r>
      <w:r>
        <w:rPr>
          <w:rFonts w:ascii="Arial" w:cs="Arial" w:eastAsia="Arial" w:hAnsi="Arial"/>
          <w:i/>
          <w:iCs/>
          <w:sz w:val="22"/>
          <w:szCs w:val="22"/>
        </w:rPr>
        <w:t xml:space="preserve">PLOS Neglected Tropical Diseases, 10</w:t>
      </w:r>
      <w:r>
        <w:rPr>
          <w:rFonts w:ascii="Arial" w:cs="Arial" w:eastAsia="Arial" w:hAnsi="Arial"/>
          <w:sz w:val="22"/>
          <w:szCs w:val="22"/>
        </w:rPr>
        <w:t xml:space="preserve">(6), e0004761.</w:t>
      </w:r>
    </w:p>
    <w:p>
      <w:pPr>
        <w:spacing w:after="0" w:before="60"/>
      </w:pPr>
      <w:r>
        <w:t xml:space="preserve"/>
      </w:r>
    </w:p>
    <w:p>
      <w:pPr>
        <w:spacing w:after="100" w:before="60"/>
      </w:pPr>
      <w:r>
        <w:rPr>
          <w:rFonts w:ascii="Arial" w:cs="Arial" w:eastAsia="Arial" w:hAnsi="Arial"/>
          <w:b/>
          <w:bCs/>
          <w:sz w:val="22"/>
          <w:szCs w:val="22"/>
        </w:rPr>
        <w:t xml:space="preserve">Brunton, S. L., et al. (2016). </w:t>
      </w:r>
      <w:r>
        <w:rPr>
          <w:rFonts w:ascii="Arial" w:cs="Arial" w:eastAsia="Arial" w:hAnsi="Arial"/>
          <w:sz w:val="22"/>
          <w:szCs w:val="22"/>
        </w:rPr>
        <w:t xml:space="preserve">Discovering governing equations from data by sparse identification of nonlinear dynamical systems (SINDy). </w:t>
      </w:r>
      <w:r>
        <w:rPr>
          <w:rFonts w:ascii="Arial" w:cs="Arial" w:eastAsia="Arial" w:hAnsi="Arial"/>
          <w:i/>
          <w:iCs/>
          <w:sz w:val="22"/>
          <w:szCs w:val="22"/>
        </w:rPr>
        <w:t xml:space="preserve">PNAS, 113</w:t>
      </w:r>
      <w:r>
        <w:rPr>
          <w:rFonts w:ascii="Arial" w:cs="Arial" w:eastAsia="Arial" w:hAnsi="Arial"/>
          <w:sz w:val="22"/>
          <w:szCs w:val="22"/>
        </w:rPr>
        <w:t xml:space="preserve">(15), 3932–3937.</w:t>
      </w:r>
    </w:p>
    <w:p>
      <w:pPr>
        <w:spacing w:after="0" w:before="60"/>
      </w:pPr>
      <w:r>
        <w:t xml:space="preserve"/>
      </w:r>
    </w:p>
    <w:p>
      <w:pPr>
        <w:spacing w:after="100" w:before="60"/>
      </w:pPr>
      <w:r>
        <w:rPr>
          <w:rFonts w:ascii="Arial" w:cs="Arial" w:eastAsia="Arial" w:hAnsi="Arial"/>
          <w:b/>
          <w:bCs/>
          <w:sz w:val="22"/>
          <w:szCs w:val="22"/>
        </w:rPr>
        <w:t xml:space="preserve">Lehman, J., et al. (2023). </w:t>
      </w:r>
      <w:r>
        <w:rPr>
          <w:rFonts w:ascii="Arial" w:cs="Arial" w:eastAsia="Arial" w:hAnsi="Arial"/>
          <w:sz w:val="22"/>
          <w:szCs w:val="22"/>
        </w:rPr>
        <w:t xml:space="preserve">Evolution through large models. </w:t>
      </w:r>
      <w:r>
        <w:rPr>
          <w:rFonts w:ascii="Arial" w:cs="Arial" w:eastAsia="Arial" w:hAnsi="Arial"/>
          <w:i/>
          <w:iCs/>
          <w:sz w:val="22"/>
          <w:szCs w:val="22"/>
        </w:rPr>
        <w:t xml:space="preserve">arXiv:2206.08896</w:t>
      </w:r>
      <w:r>
        <w:rPr>
          <w:rFonts w:ascii="Arial" w:cs="Arial" w:eastAsia="Arial" w:hAnsi="Arial"/>
          <w:sz w:val="22"/>
          <w:szCs w:val="22"/>
        </w:rPr>
        <w:t xml:space="preserve">  (FunSearch conceptual basis).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pPr>
    <w:r>
      <w:rPr>
        <w:rFonts w:ascii="Arial" w:cs="Arial" w:eastAsia="Arial" w:hAnsi="Arial"/>
        <w:color w:val="AAAAAA"/>
        <w:sz w:val="18"/>
        <w:szCs w:val="18"/>
      </w:rPr>
      <w:t xml:space="preserve">FunSearch-SINDy Project 2  |  Dominican Republic Dengue</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026"/>
      </w:tabs>
    </w:pPr>
    <w:r>
      <w:rPr>
        <w:rFonts w:ascii="Arial" w:cs="Arial" w:eastAsia="Arial" w:hAnsi="Arial"/>
        <w:color w:val="888888"/>
        <w:sz w:val="18"/>
        <w:szCs w:val="18"/>
      </w:rPr>
      <w:t xml:space="preserve">FunSearch-SINDy — Project 2  |  DR Dengue</w:t>
    </w:r>
    <w:r>
      <w:rPr>
        <w:rFonts w:ascii="Arial" w:cs="Arial" w:eastAsia="Arial" w:hAnsi="Arial"/>
        <w:sz w:val="18"/>
        <w:szCs w:val="18"/>
      </w:rPr>
      <w:t xml:space="preserve">	</w:t>
    </w:r>
    <w:r>
      <w:rPr>
        <w:rFonts w:ascii="Arial" w:cs="Arial" w:eastAsia="Arial" w:hAnsi="Arial"/>
        <w:i/>
        <w:iCs/>
        <w:color w:val="AAAAAA"/>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2026-05-19T17:35:10.960Z</dcterms:created>
  <dcterms:modified xsi:type="dcterms:W3CDTF">2026-05-19T17:35:10.960Z</dcterms:modified>
</cp:coreProperties>
</file>

<file path=docProps/custom.xml><?xml version="1.0" encoding="utf-8"?>
<Properties xmlns="http://schemas.openxmlformats.org/officeDocument/2006/custom-properties" xmlns:vt="http://schemas.openxmlformats.org/officeDocument/2006/docPropsVTypes"/>
</file>