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2"/>
        <w:jc w:val="left"/>
        <w:rPr>
          <w:b/>
          <w:color w:val="000000" w:themeColor="text1"/>
          <w:sz w:val="96"/>
          <w:szCs w:val="96"/>
          <w14:textFill>
            <w14:solidFill>
              <w14:schemeClr w14:val="tx1"/>
            </w14:solidFill>
          </w14:textFill>
        </w:rPr>
      </w:pPr>
      <w:r>
        <w:rPr>
          <w:b/>
          <w:color w:val="000000" w:themeColor="text1"/>
          <w:sz w:val="96"/>
          <w:szCs w:val="96"/>
          <w14:textFill>
            <w14:solidFill>
              <w14:schemeClr w14:val="tx1"/>
            </w14:solidFill>
          </w14:textFill>
        </w:rPr>
        <w:t>SM2R2 Consulting</w:t>
      </w:r>
    </w:p>
    <w:p>
      <w:r>
        <w:rPr>
          <w:lang w:eastAsia="en-CA"/>
        </w:rPr>
        <mc:AlternateContent>
          <mc:Choice Requires="wps">
            <w:drawing>
              <wp:anchor distT="45720" distB="45720" distL="114300" distR="114300" simplePos="0" relativeHeight="251668480" behindDoc="0" locked="0" layoutInCell="1" allowOverlap="1">
                <wp:simplePos x="0" y="0"/>
                <wp:positionH relativeFrom="margin">
                  <wp:align>right</wp:align>
                </wp:positionH>
                <wp:positionV relativeFrom="paragraph">
                  <wp:posOffset>5277485</wp:posOffset>
                </wp:positionV>
                <wp:extent cx="5915025" cy="1404620"/>
                <wp:effectExtent l="0" t="0" r="28575" b="1079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ln>
                      </wps:spPr>
                      <wps:txbx>
                        <w:txbxContent>
                          <w:p>
                            <w:pPr>
                              <w:rPr>
                                <w:b/>
                                <w:sz w:val="36"/>
                                <w:szCs w:val="36"/>
                              </w:rPr>
                            </w:pPr>
                            <w:r>
                              <w:rPr>
                                <w:b/>
                                <w:sz w:val="36"/>
                                <w:szCs w:val="36"/>
                              </w:rPr>
                              <w:t>Da Vinci’s Pizza – Provisioning Data and Workload Analysis</w:t>
                            </w:r>
                          </w:p>
                          <w:p>
                            <w:pPr>
                              <w:rPr>
                                <w:sz w:val="28"/>
                                <w:szCs w:val="28"/>
                              </w:rPr>
                            </w:pPr>
                            <w:r>
                              <w:rPr>
                                <w:sz w:val="28"/>
                                <w:szCs w:val="28"/>
                              </w:rPr>
                              <w:t>Susiette, Marco, Michael, Ron, Ray, Savitha</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415.55pt;height:110.6pt;width:465.75pt;mso-position-horizontal:right;mso-position-horizontal-relative:margin;mso-wrap-distance-bottom:3.6pt;mso-wrap-distance-left:9pt;mso-wrap-distance-right:9pt;mso-wrap-distance-top:3.6pt;z-index:251668480;mso-width-relative:page;mso-height-relative:margin;mso-height-percent:200;" fillcolor="#FFFFFF" filled="t" stroked="t" coordsize="21600,21600" o:gfxdata="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krNy8tYAAAAJAQAADwAAAAAAAAABACAA&#10;AAAiAAAAZHJzL2Rvd25yZXYueG1sUEsBAhQAFAAAAAgAh07iQCY8UqAPAgAALwQAAA4AAAAAAAAA&#10;AQAgAAAAJQEAAGRycy9lMm9Eb2MueG1sUEsFBgAAAAAGAAYAWQEAAKYFAAAAAA==&#10;">
                <v:fill on="t" focussize="0,0"/>
                <v:stroke color="#000000" miterlimit="8" joinstyle="miter"/>
                <v:imagedata o:title=""/>
                <o:lock v:ext="edit" aspectratio="f"/>
                <v:textbox style="mso-fit-shape-to-text:t;">
                  <w:txbxContent>
                    <w:p>
                      <w:pPr>
                        <w:rPr>
                          <w:b/>
                          <w:sz w:val="36"/>
                          <w:szCs w:val="36"/>
                        </w:rPr>
                      </w:pPr>
                      <w:r>
                        <w:rPr>
                          <w:b/>
                          <w:sz w:val="36"/>
                          <w:szCs w:val="36"/>
                        </w:rPr>
                        <w:t>Da Vinci’s Pizza – Provisioning Data and Workload Analysis</w:t>
                      </w:r>
                    </w:p>
                    <w:p>
                      <w:pPr>
                        <w:rPr>
                          <w:sz w:val="28"/>
                          <w:szCs w:val="28"/>
                        </w:rPr>
                      </w:pPr>
                      <w:r>
                        <w:rPr>
                          <w:sz w:val="28"/>
                          <w:szCs w:val="28"/>
                        </w:rPr>
                        <w:t>Susiette, Marco, Michael, Ron, Ray, Savitha</w:t>
                      </w:r>
                    </w:p>
                  </w:txbxContent>
                </v:textbox>
                <w10:wrap type="square"/>
              </v:shape>
            </w:pict>
          </mc:Fallback>
        </mc:AlternateContent>
      </w:r>
      <w:r>
        <w:rPr>
          <w:lang w:eastAsia="en-CA"/>
        </w:rPr>
        <w:drawing>
          <wp:anchor distT="0" distB="0" distL="114300" distR="114300" simplePos="0" relativeHeight="251662336" behindDoc="1" locked="0" layoutInCell="1" allowOverlap="1">
            <wp:simplePos x="0" y="0"/>
            <wp:positionH relativeFrom="column">
              <wp:posOffset>1270</wp:posOffset>
            </wp:positionH>
            <wp:positionV relativeFrom="page">
              <wp:posOffset>2883535</wp:posOffset>
            </wp:positionV>
            <wp:extent cx="6545580" cy="3352800"/>
            <wp:effectExtent l="0" t="0" r="7620" b="0"/>
            <wp:wrapNone/>
            <wp:docPr id="15" name="Graphic 7" descr="wolrd map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7" descr="wolrd map graphic"/>
                    <pic:cNvPicPr>
                      <a:picLocks noChangeAspect="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6545580" cy="3352800"/>
                    </a:xfrm>
                    <a:prstGeom prst="rect">
                      <a:avLst/>
                    </a:prstGeom>
                  </pic:spPr>
                </pic:pic>
              </a:graphicData>
            </a:graphic>
          </wp:anchor>
        </w:drawing>
      </w:r>
      <w:r>
        <w:br w:type="page"/>
      </w:r>
    </w:p>
    <w:sdt>
      <w:sdtPr>
        <w:rPr>
          <w:rFonts w:asciiTheme="minorHAnsi" w:hAnsiTheme="minorHAnsi" w:eastAsiaTheme="minorEastAsia" w:cstheme="minorBidi"/>
          <w:b w:val="0"/>
          <w:color w:val="auto"/>
          <w:sz w:val="21"/>
          <w:szCs w:val="21"/>
        </w:rPr>
        <w:id w:val="-107745762"/>
        <w:docPartObj>
          <w:docPartGallery w:val="Table of Contents"/>
          <w:docPartUnique/>
        </w:docPartObj>
      </w:sdtPr>
      <w:sdtEndPr>
        <w:rPr>
          <w:rFonts w:asciiTheme="minorHAnsi" w:hAnsiTheme="minorHAnsi" w:eastAsiaTheme="minorEastAsia" w:cstheme="minorBidi"/>
          <w:b w:val="0"/>
          <w:bCs/>
          <w:color w:val="auto"/>
          <w:sz w:val="21"/>
          <w:szCs w:val="21"/>
        </w:rPr>
      </w:sdtEndPr>
      <w:sdtContent>
        <w:p>
          <w:pPr>
            <w:pStyle w:val="31"/>
          </w:pPr>
          <w:r>
            <w:t>Contents</w:t>
          </w:r>
        </w:p>
        <w:p>
          <w:pPr>
            <w:pStyle w:val="18"/>
            <w:tabs>
              <w:tab w:val="right" w:leader="dot" w:pos="9350"/>
            </w:tabs>
            <w:rPr>
              <w:sz w:val="22"/>
              <w:szCs w:val="22"/>
              <w:lang w:eastAsia="en-CA"/>
            </w:rPr>
          </w:pPr>
          <w:r>
            <w:rPr>
              <w:b/>
              <w:bCs/>
            </w:rPr>
            <w:fldChar w:fldCharType="begin"/>
          </w:r>
          <w:r>
            <w:rPr>
              <w:b/>
              <w:bCs/>
            </w:rPr>
            <w:instrText xml:space="preserve"> TOC \o "1-3" \h \z \u </w:instrText>
          </w:r>
          <w:r>
            <w:rPr>
              <w:b/>
              <w:bCs/>
            </w:rPr>
            <w:fldChar w:fldCharType="separate"/>
          </w:r>
          <w:r>
            <w:fldChar w:fldCharType="begin"/>
          </w:r>
          <w:r>
            <w:instrText xml:space="preserve"> HYPERLINK \l "_Toc3276754" </w:instrText>
          </w:r>
          <w:r>
            <w:fldChar w:fldCharType="separate"/>
          </w:r>
          <w:r>
            <w:rPr>
              <w:rStyle w:val="23"/>
            </w:rPr>
            <w:t>Introduction</w:t>
          </w:r>
          <w:r>
            <w:tab/>
          </w:r>
          <w:r>
            <w:fldChar w:fldCharType="begin"/>
          </w:r>
          <w:r>
            <w:instrText xml:space="preserve"> PAGEREF _Toc3276754 \h </w:instrText>
          </w:r>
          <w:r>
            <w:fldChar w:fldCharType="separate"/>
          </w:r>
          <w:r>
            <w:t>3</w:t>
          </w:r>
          <w:r>
            <w:fldChar w:fldCharType="end"/>
          </w:r>
          <w:r>
            <w:fldChar w:fldCharType="end"/>
          </w:r>
        </w:p>
        <w:p>
          <w:pPr>
            <w:pStyle w:val="18"/>
            <w:tabs>
              <w:tab w:val="right" w:leader="dot" w:pos="9350"/>
            </w:tabs>
            <w:rPr>
              <w:sz w:val="22"/>
              <w:szCs w:val="22"/>
              <w:lang w:eastAsia="en-CA"/>
            </w:rPr>
          </w:pPr>
          <w:r>
            <w:fldChar w:fldCharType="begin"/>
          </w:r>
          <w:r>
            <w:instrText xml:space="preserve"> HYPERLINK \l "_Toc3276755" </w:instrText>
          </w:r>
          <w:r>
            <w:fldChar w:fldCharType="separate"/>
          </w:r>
          <w:r>
            <w:rPr>
              <w:rStyle w:val="23"/>
            </w:rPr>
            <w:t>Data Platform</w:t>
          </w:r>
          <w:r>
            <w:tab/>
          </w:r>
          <w:r>
            <w:fldChar w:fldCharType="begin"/>
          </w:r>
          <w:r>
            <w:instrText xml:space="preserve"> PAGEREF _Toc3276755 \h </w:instrText>
          </w:r>
          <w:r>
            <w:fldChar w:fldCharType="separate"/>
          </w:r>
          <w:r>
            <w:t>3</w:t>
          </w:r>
          <w:r>
            <w:fldChar w:fldCharType="end"/>
          </w:r>
          <w:r>
            <w:fldChar w:fldCharType="end"/>
          </w:r>
        </w:p>
        <w:p>
          <w:pPr>
            <w:pStyle w:val="18"/>
            <w:tabs>
              <w:tab w:val="right" w:leader="dot" w:pos="9350"/>
            </w:tabs>
            <w:rPr>
              <w:sz w:val="22"/>
              <w:szCs w:val="22"/>
              <w:lang w:eastAsia="en-CA"/>
            </w:rPr>
          </w:pPr>
          <w:r>
            <w:fldChar w:fldCharType="begin"/>
          </w:r>
          <w:r>
            <w:instrText xml:space="preserve"> HYPERLINK \l "_Toc3276756" </w:instrText>
          </w:r>
          <w:r>
            <w:fldChar w:fldCharType="separate"/>
          </w:r>
          <w:r>
            <w:rPr>
              <w:rStyle w:val="23"/>
            </w:rPr>
            <w:t>Additional Datasets</w:t>
          </w:r>
          <w:r>
            <w:tab/>
          </w:r>
          <w:r>
            <w:fldChar w:fldCharType="begin"/>
          </w:r>
          <w:r>
            <w:instrText xml:space="preserve"> PAGEREF _Toc3276756 \h </w:instrText>
          </w:r>
          <w:r>
            <w:fldChar w:fldCharType="separate"/>
          </w:r>
          <w:r>
            <w:t>4</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"_Toc3276757" </w:instrText>
          </w:r>
          <w:r>
            <w:fldChar w:fldCharType="separate"/>
          </w:r>
          <w:r>
            <w:rPr>
              <w:rStyle w:val="23"/>
            </w:rPr>
            <w:t>City of Toronto Building Permits</w:t>
          </w:r>
          <w:r>
            <w:tab/>
          </w:r>
          <w:r>
            <w:fldChar w:fldCharType="begin"/>
          </w:r>
          <w:r>
            <w:instrText xml:space="preserve"> PAGEREF _Toc3276757 \h </w:instrText>
          </w:r>
          <w:r>
            <w:fldChar w:fldCharType="separate"/>
          </w:r>
          <w:r>
            <w:t>4</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"_Toc3276758" </w:instrText>
          </w:r>
          <w:r>
            <w:fldChar w:fldCharType="separate"/>
          </w:r>
          <w:r>
            <w:rPr>
              <w:rStyle w:val="23"/>
            </w:rPr>
            <w:t>Pizza restaurants and the pizzas they sell – Kaggle</w:t>
          </w:r>
          <w:r>
            <w:tab/>
          </w:r>
          <w:r>
            <w:fldChar w:fldCharType="begin"/>
          </w:r>
          <w:r>
            <w:instrText xml:space="preserve"> PAGEREF _Toc3276758 \h </w:instrText>
          </w:r>
          <w:r>
            <w:fldChar w:fldCharType="separate"/>
          </w:r>
          <w:r>
            <w:t>4</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"_Toc3276759" </w:instrText>
          </w:r>
          <w:r>
            <w:fldChar w:fldCharType="separate"/>
          </w:r>
          <w:r>
            <w:rPr>
              <w:rStyle w:val="23"/>
            </w:rPr>
            <w:t>Yelp Restaurant Review</w:t>
          </w:r>
          <w:r>
            <w:tab/>
          </w:r>
          <w:r>
            <w:fldChar w:fldCharType="begin"/>
          </w:r>
          <w:r>
            <w:instrText xml:space="preserve"> PAGEREF _Toc3276759 \h </w:instrText>
          </w:r>
          <w:r>
            <w:fldChar w:fldCharType="separate"/>
          </w:r>
          <w:r>
            <w:t>5</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"_Toc3276760" </w:instrText>
          </w:r>
          <w:r>
            <w:fldChar w:fldCharType="separate"/>
          </w:r>
          <w:r>
            <w:rPr>
              <w:rStyle w:val="23"/>
            </w:rPr>
            <w:t>Twitter Reviews - Online Food Ordering Services</w:t>
          </w:r>
          <w:r>
            <w:tab/>
          </w:r>
          <w:r>
            <w:fldChar w:fldCharType="begin"/>
          </w:r>
          <w:r>
            <w:instrText xml:space="preserve"> PAGEREF _Toc3276760 \h </w:instrText>
          </w:r>
          <w:r>
            <w:fldChar w:fldCharType="separate"/>
          </w:r>
          <w:r>
            <w:t>5</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"_Toc3276761" </w:instrText>
          </w:r>
          <w:r>
            <w:fldChar w:fldCharType="separate"/>
          </w:r>
          <w:r>
            <w:rPr>
              <w:rStyle w:val="23"/>
            </w:rPr>
            <w:t>Air Miles Canada Loyalty data</w:t>
          </w:r>
          <w:r>
            <w:tab/>
          </w:r>
          <w:r>
            <w:fldChar w:fldCharType="begin"/>
          </w:r>
          <w:r>
            <w:instrText xml:space="preserve"> PAGEREF _Toc3276761 \h </w:instrText>
          </w:r>
          <w:r>
            <w:fldChar w:fldCharType="separate"/>
          </w:r>
          <w:r>
            <w:t>6</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"_Toc3276762" </w:instrText>
          </w:r>
          <w:r>
            <w:fldChar w:fldCharType="separate"/>
          </w:r>
          <w:r>
            <w:rPr>
              <w:rStyle w:val="23"/>
            </w:rPr>
            <w:t>Toronto - 2016_neighbourhood_profiles – Statistics Canada</w:t>
          </w:r>
          <w:r>
            <w:tab/>
          </w:r>
          <w:r>
            <w:fldChar w:fldCharType="begin"/>
          </w:r>
          <w:r>
            <w:instrText xml:space="preserve"> PAGEREF _Toc3276762 \h </w:instrText>
          </w:r>
          <w:r>
            <w:fldChar w:fldCharType="separate"/>
          </w:r>
          <w:r>
            <w:t>7</w:t>
          </w:r>
          <w:r>
            <w:fldChar w:fldCharType="end"/>
          </w:r>
          <w:r>
            <w:fldChar w:fldCharType="end"/>
          </w:r>
        </w:p>
        <w:p>
          <w:pPr>
            <w:pStyle w:val="18"/>
            <w:tabs>
              <w:tab w:val="right" w:leader="dot" w:pos="9350"/>
            </w:tabs>
            <w:rPr>
              <w:sz w:val="22"/>
              <w:szCs w:val="22"/>
              <w:lang w:eastAsia="en-CA"/>
            </w:rPr>
          </w:pPr>
          <w:r>
            <w:fldChar w:fldCharType="begin"/>
          </w:r>
          <w:r>
            <w:instrText xml:space="preserve"> HYPERLINK \l "_Toc3276763" </w:instrText>
          </w:r>
          <w:r>
            <w:fldChar w:fldCharType="separate"/>
          </w:r>
          <w:r>
            <w:rPr>
              <w:rStyle w:val="23"/>
            </w:rPr>
            <w:t>Data set analysis</w:t>
          </w:r>
          <w:r>
            <w:tab/>
          </w:r>
          <w:r>
            <w:fldChar w:fldCharType="begin"/>
          </w:r>
          <w:r>
            <w:instrText xml:space="preserve"> PAGEREF _Toc3276763 \h </w:instrText>
          </w:r>
          <w:r>
            <w:fldChar w:fldCharType="separate"/>
          </w:r>
          <w:r>
            <w:t>8</w:t>
          </w:r>
          <w:r>
            <w:fldChar w:fldCharType="end"/>
          </w:r>
          <w:r>
            <w:fldChar w:fldCharType="end"/>
          </w:r>
        </w:p>
        <w:p>
          <w:pPr>
            <w:pStyle w:val="18"/>
            <w:tabs>
              <w:tab w:val="right" w:leader="dot" w:pos="9350"/>
            </w:tabs>
            <w:rPr>
              <w:sz w:val="22"/>
              <w:szCs w:val="22"/>
              <w:lang w:eastAsia="en-CA"/>
            </w:rPr>
          </w:pPr>
          <w:r>
            <w:fldChar w:fldCharType="begin"/>
          </w:r>
          <w:r>
            <w:instrText xml:space="preserve"> HYPERLINK \l "_Toc3276764" </w:instrText>
          </w:r>
          <w:r>
            <w:fldChar w:fldCharType="separate"/>
          </w:r>
          <w:r>
            <w:rPr>
              <w:rStyle w:val="23"/>
            </w:rPr>
            <w:t>Strategic Workloads</w:t>
          </w:r>
          <w:r>
            <w:tab/>
          </w:r>
          <w:r>
            <w:fldChar w:fldCharType="begin"/>
          </w:r>
          <w:r>
            <w:instrText xml:space="preserve"> PAGEREF _Toc3276764 \h </w:instrText>
          </w:r>
          <w:r>
            <w:fldChar w:fldCharType="separate"/>
          </w:r>
          <w:r>
            <w:t>9</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"_Toc3276765" </w:instrText>
          </w:r>
          <w:r>
            <w:fldChar w:fldCharType="separate"/>
          </w:r>
          <w:r>
            <w:rPr>
              <w:rStyle w:val="23"/>
            </w:rPr>
            <w:t>Efficient Life Cycle of Food and Beverage Ingredients</w:t>
          </w:r>
          <w:r>
            <w:tab/>
          </w:r>
          <w:r>
            <w:fldChar w:fldCharType="begin"/>
          </w:r>
          <w:r>
            <w:instrText xml:space="preserve"> PAGEREF _Toc3276765 \h </w:instrText>
          </w:r>
          <w:r>
            <w:fldChar w:fldCharType="separate"/>
          </w:r>
          <w:r>
            <w:t>10</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"_Toc3276766" </w:instrText>
          </w:r>
          <w:r>
            <w:fldChar w:fldCharType="separate"/>
          </w:r>
          <w:r>
            <w:rPr>
              <w:rStyle w:val="23"/>
            </w:rPr>
            <w:t>Franchising the business</w:t>
          </w:r>
          <w:r>
            <w:tab/>
          </w:r>
          <w:r>
            <w:fldChar w:fldCharType="begin"/>
          </w:r>
          <w:r>
            <w:instrText xml:space="preserve"> PAGEREF _Toc3276766 \h </w:instrText>
          </w:r>
          <w:r>
            <w:fldChar w:fldCharType="separate"/>
          </w:r>
          <w:r>
            <w:t>12</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"_Toc3276767" </w:instrText>
          </w:r>
          <w:r>
            <w:fldChar w:fldCharType="separate"/>
          </w:r>
          <w:r>
            <w:rPr>
              <w:rStyle w:val="23"/>
            </w:rPr>
            <w:t>Identify new locations</w:t>
          </w:r>
          <w:r>
            <w:tab/>
          </w:r>
          <w:r>
            <w:fldChar w:fldCharType="begin"/>
          </w:r>
          <w:r>
            <w:instrText xml:space="preserve"> PAGEREF _Toc3276767 \h </w:instrText>
          </w:r>
          <w:r>
            <w:fldChar w:fldCharType="separate"/>
          </w:r>
          <w:r>
            <w:t>14</w:t>
          </w:r>
          <w:r>
            <w:fldChar w:fldCharType="end"/>
          </w:r>
          <w:r>
            <w:fldChar w:fldCharType="end"/>
          </w:r>
        </w:p>
        <w:p>
          <w:pPr>
            <w:pStyle w:val="18"/>
            <w:tabs>
              <w:tab w:val="right" w:leader="dot" w:pos="9350"/>
            </w:tabs>
            <w:rPr>
              <w:sz w:val="22"/>
              <w:szCs w:val="22"/>
              <w:lang w:eastAsia="en-CA"/>
            </w:rPr>
          </w:pPr>
          <w:r>
            <w:fldChar w:fldCharType="begin"/>
          </w:r>
          <w:r>
            <w:instrText xml:space="preserve"> HYPERLINK \l "_Toc3276768" </w:instrText>
          </w:r>
          <w:r>
            <w:fldChar w:fldCharType="separate"/>
          </w:r>
          <w:r>
            <w:rPr>
              <w:rStyle w:val="23"/>
            </w:rPr>
            <w:t>Tactical Workloads</w:t>
          </w:r>
          <w:r>
            <w:tab/>
          </w:r>
          <w:r>
            <w:fldChar w:fldCharType="begin"/>
          </w:r>
          <w:r>
            <w:instrText xml:space="preserve"> PAGEREF _Toc3276768 \h </w:instrText>
          </w:r>
          <w:r>
            <w:fldChar w:fldCharType="separate"/>
          </w:r>
          <w:r>
            <w:t>15</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"_Toc3276769" </w:instrText>
          </w:r>
          <w:r>
            <w:fldChar w:fldCharType="separate"/>
          </w:r>
          <w:r>
            <w:rPr>
              <w:rStyle w:val="23"/>
            </w:rPr>
            <w:t>Create a pizza community</w:t>
          </w:r>
          <w:r>
            <w:tab/>
          </w:r>
          <w:r>
            <w:fldChar w:fldCharType="begin"/>
          </w:r>
          <w:r>
            <w:instrText xml:space="preserve"> PAGEREF _Toc3276769 \h </w:instrText>
          </w:r>
          <w:r>
            <w:fldChar w:fldCharType="separate"/>
          </w:r>
          <w:r>
            <w:t>16</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"_Toc3276770" </w:instrText>
          </w:r>
          <w:r>
            <w:fldChar w:fldCharType="separate"/>
          </w:r>
          <w:r>
            <w:rPr>
              <w:rStyle w:val="23"/>
            </w:rPr>
            <w:t>AIR MILES Rewards Program</w:t>
          </w:r>
          <w:r>
            <w:tab/>
          </w:r>
          <w:r>
            <w:fldChar w:fldCharType="begin"/>
          </w:r>
          <w:r>
            <w:instrText xml:space="preserve"> PAGEREF _Toc3276770 \h </w:instrText>
          </w:r>
          <w:r>
            <w:fldChar w:fldCharType="separate"/>
          </w:r>
          <w:r>
            <w:t>17</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"_Toc3276771" </w:instrText>
          </w:r>
          <w:r>
            <w:fldChar w:fldCharType="separate"/>
          </w:r>
          <w:r>
            <w:rPr>
              <w:rStyle w:val="23"/>
            </w:rPr>
            <w:t>The AIR MILES Reward Program: Redemption, Earn Rate &amp; Partners (Estimation)</w:t>
          </w:r>
          <w:r>
            <w:tab/>
          </w:r>
          <w:r>
            <w:fldChar w:fldCharType="begin"/>
          </w:r>
          <w:r>
            <w:instrText xml:space="preserve"> PAGEREF _Toc3276771 \h </w:instrText>
          </w:r>
          <w:r>
            <w:fldChar w:fldCharType="separate"/>
          </w:r>
          <w:r>
            <w:t>18</w:t>
          </w:r>
          <w:r>
            <w:fldChar w:fldCharType="end"/>
          </w:r>
          <w:r>
            <w:fldChar w:fldCharType="end"/>
          </w:r>
        </w:p>
        <w:p>
          <w:pPr>
            <w:pStyle w:val="18"/>
            <w:tabs>
              <w:tab w:val="right" w:leader="dot" w:pos="9350"/>
            </w:tabs>
            <w:rPr>
              <w:sz w:val="22"/>
              <w:szCs w:val="22"/>
              <w:lang w:eastAsia="en-CA"/>
            </w:rPr>
          </w:pPr>
          <w:r>
            <w:fldChar w:fldCharType="begin"/>
          </w:r>
          <w:r>
            <w:instrText xml:space="preserve"> HYPERLINK \l "_Toc3276772" </w:instrText>
          </w:r>
          <w:r>
            <w:fldChar w:fldCharType="separate"/>
          </w:r>
          <w:r>
            <w:rPr>
              <w:rStyle w:val="23"/>
            </w:rPr>
            <w:t>Operational Workloads</w:t>
          </w:r>
          <w:r>
            <w:tab/>
          </w:r>
          <w:r>
            <w:fldChar w:fldCharType="begin"/>
          </w:r>
          <w:r>
            <w:instrText xml:space="preserve"> PAGEREF _Toc3276772 \h </w:instrText>
          </w:r>
          <w:r>
            <w:fldChar w:fldCharType="separate"/>
          </w:r>
          <w:r>
            <w:t>20</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"_Toc3276773" </w:instrText>
          </w:r>
          <w:r>
            <w:fldChar w:fldCharType="separate"/>
          </w:r>
          <w:r>
            <w:rPr>
              <w:rStyle w:val="23"/>
            </w:rPr>
            <w:t>Internal KPI</w:t>
          </w:r>
          <w:r>
            <w:tab/>
          </w:r>
          <w:r>
            <w:fldChar w:fldCharType="begin"/>
          </w:r>
          <w:r>
            <w:instrText xml:space="preserve"> PAGEREF _Toc3276773 \h </w:instrText>
          </w:r>
          <w:r>
            <w:fldChar w:fldCharType="separate"/>
          </w:r>
          <w:r>
            <w:t>21</w:t>
          </w:r>
          <w:r>
            <w:fldChar w:fldCharType="end"/>
          </w:r>
          <w:r>
            <w:fldChar w:fldCharType="end"/>
          </w:r>
        </w:p>
        <w:p>
          <w:pPr>
            <w:pStyle w:val="19"/>
            <w:tabs>
              <w:tab w:val="right" w:leader="dot" w:pos="9350"/>
            </w:tabs>
            <w:rPr>
              <w:rFonts w:cstheme="minorBidi"/>
              <w:lang w:val="en-CA" w:eastAsia="en-CA"/>
            </w:rPr>
          </w:pPr>
          <w:r>
            <w:fldChar w:fldCharType="begin"/>
          </w:r>
          <w:r>
            <w:instrText xml:space="preserve"> HYPERLINK \l "_Toc3276774" </w:instrText>
          </w:r>
          <w:r>
            <w:fldChar w:fldCharType="separate"/>
          </w:r>
          <w:r>
            <w:rPr>
              <w:rStyle w:val="23"/>
              <w:shd w:val="clear" w:color="auto" w:fill="FFFFFF"/>
            </w:rPr>
            <w:t>Online/mobile App Ordering and Delivery System</w:t>
          </w:r>
          <w:r>
            <w:tab/>
          </w:r>
          <w:r>
            <w:fldChar w:fldCharType="begin"/>
          </w:r>
          <w:r>
            <w:instrText xml:space="preserve"> PAGEREF _Toc3276774 \h </w:instrText>
          </w:r>
          <w:r>
            <w:fldChar w:fldCharType="separate"/>
          </w:r>
          <w:r>
            <w:t>22</w:t>
          </w:r>
          <w:r>
            <w:fldChar w:fldCharType="end"/>
          </w:r>
          <w:r>
            <w:fldChar w:fldCharType="end"/>
          </w:r>
        </w:p>
        <w:p>
          <w:pPr>
            <w:pStyle w:val="18"/>
            <w:tabs>
              <w:tab w:val="right" w:leader="dot" w:pos="9350"/>
            </w:tabs>
            <w:rPr>
              <w:sz w:val="22"/>
              <w:szCs w:val="22"/>
              <w:lang w:eastAsia="en-CA"/>
            </w:rPr>
          </w:pPr>
          <w:r>
            <w:fldChar w:fldCharType="begin"/>
          </w:r>
          <w:r>
            <w:instrText xml:space="preserve"> HYPERLINK \l "_Toc3276775" </w:instrText>
          </w:r>
          <w:r>
            <w:fldChar w:fldCharType="separate"/>
          </w:r>
          <w:r>
            <w:rPr>
              <w:rStyle w:val="23"/>
            </w:rPr>
            <w:t>Summary</w:t>
          </w:r>
          <w:r>
            <w:tab/>
          </w:r>
          <w:r>
            <w:fldChar w:fldCharType="begin"/>
          </w:r>
          <w:r>
            <w:instrText xml:space="preserve"> PAGEREF _Toc3276775 \h </w:instrText>
          </w:r>
          <w:r>
            <w:fldChar w:fldCharType="separate"/>
          </w:r>
          <w:r>
            <w:t>26</w:t>
          </w:r>
          <w:r>
            <w:fldChar w:fldCharType="end"/>
          </w:r>
          <w:r>
            <w:fldChar w:fldCharType="end"/>
          </w:r>
        </w:p>
        <w:p>
          <w:pPr>
            <w:pStyle w:val="18"/>
            <w:tabs>
              <w:tab w:val="right" w:leader="dot" w:pos="9350"/>
            </w:tabs>
            <w:rPr>
              <w:sz w:val="22"/>
              <w:szCs w:val="22"/>
              <w:lang w:eastAsia="en-CA"/>
            </w:rPr>
          </w:pPr>
          <w:r>
            <w:fldChar w:fldCharType="begin"/>
          </w:r>
          <w:r>
            <w:instrText xml:space="preserve"> HYPERLINK \l "_Toc3276776" </w:instrText>
          </w:r>
          <w:r>
            <w:fldChar w:fldCharType="separate"/>
          </w:r>
          <w:r>
            <w:rPr>
              <w:rStyle w:val="23"/>
            </w:rPr>
            <w:t>Peer Review</w:t>
          </w:r>
          <w:r>
            <w:tab/>
          </w:r>
          <w:r>
            <w:fldChar w:fldCharType="begin"/>
          </w:r>
          <w:r>
            <w:instrText xml:space="preserve"> PAGEREF _Toc3276776 \h </w:instrText>
          </w:r>
          <w:r>
            <w:fldChar w:fldCharType="separate"/>
          </w:r>
          <w:r>
            <w:t>26</w:t>
          </w:r>
          <w:r>
            <w:fldChar w:fldCharType="end"/>
          </w:r>
          <w:r>
            <w:fldChar w:fldCharType="end"/>
          </w:r>
        </w:p>
        <w:p>
          <w:pPr>
            <w:rPr>
              <w:b/>
              <w:bCs/>
            </w:rPr>
          </w:pPr>
          <w:r>
            <w:rPr>
              <w:b/>
              <w:bCs/>
            </w:rPr>
            <w:fldChar w:fldCharType="end"/>
          </w:r>
        </w:p>
      </w:sdtContent>
    </w:sdt>
    <w:p>
      <w:pPr>
        <w:rPr>
          <w:rFonts w:asciiTheme="majorHAnsi" w:hAnsiTheme="majorHAnsi" w:eastAsiaTheme="majorEastAsia" w:cstheme="majorBidi"/>
          <w:b/>
          <w:color w:val="548235" w:themeColor="accent6" w:themeShade="BF"/>
          <w:sz w:val="40"/>
          <w:szCs w:val="40"/>
        </w:rPr>
      </w:pPr>
      <w:r>
        <w:br w:type="page"/>
      </w:r>
    </w:p>
    <w:p>
      <w:pPr>
        <w:pStyle w:val="2"/>
      </w:pPr>
      <w:bookmarkStart w:id="0" w:name="_Toc3276754"/>
      <w:r>
        <w:t>Introduction</w:t>
      </w:r>
      <w:bookmarkEnd w:id="0"/>
    </w:p>
    <w:p>
      <w:pPr>
        <w:rPr>
          <w:sz w:val="24"/>
          <w:szCs w:val="24"/>
        </w:rPr>
      </w:pPr>
      <w:r>
        <w:rPr>
          <w:sz w:val="24"/>
          <w:szCs w:val="24"/>
        </w:rPr>
        <w:t>Davinci’s Pizza is in an evolutionary phase in its growth cycle as they expand to use raw data as a key resource to make quantitative, fact based, insightful data driven decisions. There is a wide variety of data available from internal sources, as well as, external data.</w:t>
      </w:r>
    </w:p>
    <w:p>
      <w:pPr>
        <w:pStyle w:val="2"/>
      </w:pPr>
      <w:bookmarkStart w:id="1" w:name="_Toc3276755"/>
      <w:r>
        <w:t>Data Platform</w:t>
      </w:r>
      <w:bookmarkEnd w:id="1"/>
    </w:p>
    <w:p>
      <w:pPr>
        <w:rPr>
          <w:sz w:val="24"/>
          <w:szCs w:val="24"/>
        </w:rPr>
      </w:pPr>
      <w:r>
        <w:rPr>
          <w:sz w:val="24"/>
          <w:szCs w:val="24"/>
        </w:rPr>
        <w:t>Microsoft Azure will be the data platform used to capture and manage a diverse set of data and transform into meaningful data and reports.</w:t>
      </w:r>
    </w:p>
    <w:p>
      <w:pPr>
        <w:rPr>
          <w:sz w:val="24"/>
          <w:szCs w:val="24"/>
        </w:rPr>
      </w:pPr>
    </w:p>
    <w:p>
      <w:pPr>
        <w:rPr>
          <w:sz w:val="24"/>
          <w:szCs w:val="24"/>
        </w:rPr>
      </w:pPr>
      <w:r>
        <w:rPr>
          <w:lang w:eastAsia="en-CA"/>
        </w:rPr>
        <w:drawing>
          <wp:inline distT="0" distB="0" distL="0" distR="0">
            <wp:extent cx="5943600" cy="3340100"/>
            <wp:effectExtent l="0" t="0" r="0" b="0"/>
            <wp:docPr id="9" name="Picture 9" descr="https://cloudblogs.microsoft.com/uploads/prod/2018/03/Microsoft20data20platform_1104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cloudblogs.microsoft.com/uploads/prod/2018/03/Microsoft20data20platform_110420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340431"/>
                    </a:xfrm>
                    <a:prstGeom prst="rect">
                      <a:avLst/>
                    </a:prstGeom>
                    <a:noFill/>
                    <a:ln>
                      <a:noFill/>
                    </a:ln>
                  </pic:spPr>
                </pic:pic>
              </a:graphicData>
            </a:graphic>
          </wp:inline>
        </w:drawing>
      </w:r>
    </w:p>
    <w:p>
      <w:pPr>
        <w:rPr>
          <w:sz w:val="20"/>
          <w:szCs w:val="20"/>
        </w:rPr>
      </w:pPr>
      <w:r>
        <w:rPr>
          <w:sz w:val="20"/>
          <w:szCs w:val="20"/>
        </w:rPr>
        <w:t>https://cloudblogs.microsoft.com/uploads/prod/2018/03/Microsoft20data20platform_11042014.png</w:t>
      </w:r>
    </w:p>
    <w:p>
      <w:pPr>
        <w:rPr>
          <w:b/>
          <w:sz w:val="28"/>
          <w:szCs w:val="28"/>
        </w:rPr>
      </w:pPr>
      <w:r>
        <w:rPr>
          <w:b/>
          <w:sz w:val="28"/>
          <w:szCs w:val="28"/>
        </w:rPr>
        <w:br w:type="page"/>
      </w:r>
    </w:p>
    <w:p>
      <w:pPr>
        <w:pStyle w:val="2"/>
      </w:pPr>
      <w:bookmarkStart w:id="2" w:name="_Toc3276756"/>
      <w:r>
        <w:t>Additional Datasets</w:t>
      </w:r>
      <w:bookmarkEnd w:id="2"/>
    </w:p>
    <w:p>
      <w:pPr>
        <w:pStyle w:val="3"/>
      </w:pPr>
      <w:bookmarkStart w:id="3" w:name="_Toc3276757"/>
      <w:r>
        <w:t>City of Toronto Building Permits</w:t>
      </w:r>
      <w:bookmarkEnd w:id="3"/>
    </w:p>
    <w:p>
      <w:pPr>
        <w:pStyle w:val="27"/>
        <w:shd w:val="clear" w:color="auto" w:fill="FFFFFF"/>
        <w:rPr>
          <w:rFonts w:ascii="Helvetica" w:hAnsi="Helvetica"/>
          <w:color w:val="1D2228"/>
          <w:sz w:val="20"/>
          <w:szCs w:val="20"/>
        </w:rPr>
      </w:pPr>
      <w:r>
        <w:rPr>
          <w:rFonts w:ascii="Helvetica" w:hAnsi="Helvetica"/>
          <w:color w:val="1D2228"/>
          <w:sz w:val="20"/>
          <w:szCs w:val="20"/>
        </w:rPr>
        <w:t> </w:t>
      </w:r>
      <w:r>
        <w:fldChar w:fldCharType="begin"/>
      </w:r>
      <w:r>
        <w:instrText xml:space="preserve"> HYPERLINK "https://www.toronto.ca/city-government/data-research-maps/open-data/open-data-catalogue/" \l "c9117f72-4eaf-5e45-f3a6-b8b465074217" \t "_blank" </w:instrText>
      </w:r>
      <w:r>
        <w:fldChar w:fldCharType="separate"/>
      </w:r>
      <w:r>
        <w:rPr>
          <w:rStyle w:val="23"/>
          <w:rFonts w:ascii="Helvetica" w:hAnsi="Helvetica"/>
          <w:color w:val="196AD4"/>
          <w:sz w:val="20"/>
          <w:szCs w:val="20"/>
        </w:rPr>
        <w:t>https://www.toronto.ca/city-government/data-research-maps/open-data/open-data-catalogue/#c9117f72-4eaf-5e45-f3a6-b8b465074217</w:t>
      </w:r>
      <w:r>
        <w:rPr>
          <w:rStyle w:val="23"/>
          <w:rFonts w:ascii="Helvetica" w:hAnsi="Helvetica"/>
          <w:color w:val="196AD4"/>
          <w:sz w:val="20"/>
          <w:szCs w:val="20"/>
        </w:rPr>
        <w:fldChar w:fldCharType="end"/>
      </w:r>
    </w:p>
    <w:p>
      <w:pPr>
        <w:rPr>
          <w:b/>
          <w:sz w:val="28"/>
          <w:szCs w:val="28"/>
        </w:rPr>
      </w:pPr>
      <w:r>
        <w:rPr>
          <w:lang w:eastAsia="en-CA"/>
        </w:rPr>
        <w:drawing>
          <wp:inline distT="0" distB="0" distL="0" distR="0">
            <wp:extent cx="5943600" cy="1437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943600" cy="1437746"/>
                    </a:xfrm>
                    <a:prstGeom prst="rect">
                      <a:avLst/>
                    </a:prstGeom>
                  </pic:spPr>
                </pic:pic>
              </a:graphicData>
            </a:graphic>
          </wp:inline>
        </w:drawing>
      </w:r>
    </w:p>
    <w:p>
      <w:pPr>
        <w:rPr>
          <w:b/>
          <w:sz w:val="28"/>
          <w:szCs w:val="28"/>
        </w:rPr>
      </w:pPr>
    </w:p>
    <w:p>
      <w:pPr>
        <w:pStyle w:val="3"/>
      </w:pPr>
      <w:bookmarkStart w:id="4" w:name="_Toc3276758"/>
      <w:r>
        <w:t>Pizza restaurants and the pizzas they sell – Kaggle</w:t>
      </w:r>
      <w:bookmarkEnd w:id="4"/>
    </w:p>
    <w:p>
      <w:r>
        <w:fldChar w:fldCharType="begin"/>
      </w:r>
      <w:r>
        <w:instrText xml:space="preserve"> HYPERLINK "https://www.kaggle.com/datafiniti/pizza-restaurants-and-the-pizza-they-sell/version/1" \l "8358_1.csv" </w:instrText>
      </w:r>
      <w:r>
        <w:fldChar w:fldCharType="separate"/>
      </w:r>
      <w:r>
        <w:rPr>
          <w:rStyle w:val="23"/>
        </w:rPr>
        <w:t>https://www.kaggle.com/datafiniti/pizza-restaurants-and-the-pizza-they-sell/version/1#8358_1.csv</w:t>
      </w:r>
      <w:r>
        <w:rPr>
          <w:rStyle w:val="23"/>
        </w:rPr>
        <w:fldChar w:fldCharType="end"/>
      </w:r>
    </w:p>
    <w:p>
      <w:r>
        <w:fldChar w:fldCharType="begin"/>
      </w:r>
      <w:r>
        <w:instrText xml:space="preserve"> HYPERLINK "https://datafiniti.co/products/business-data/" </w:instrText>
      </w:r>
      <w:r>
        <w:fldChar w:fldCharType="separate"/>
      </w:r>
      <w:r>
        <w:rPr>
          <w:rStyle w:val="23"/>
        </w:rPr>
        <w:t>https://datafiniti.co/products/business-data/</w:t>
      </w:r>
      <w:r>
        <w:rPr>
          <w:rStyle w:val="23"/>
        </w:rPr>
        <w:fldChar w:fldCharType="end"/>
      </w:r>
    </w:p>
    <w:p>
      <w:r>
        <w:rPr>
          <w:lang w:eastAsia="en-CA"/>
        </w:rPr>
        <w:drawing>
          <wp:inline distT="0" distB="0" distL="0" distR="0">
            <wp:extent cx="6184900" cy="28079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6203177" cy="2816319"/>
                    </a:xfrm>
                    <a:prstGeom prst="rect">
                      <a:avLst/>
                    </a:prstGeom>
                  </pic:spPr>
                </pic:pic>
              </a:graphicData>
            </a:graphic>
          </wp:inline>
        </w:drawing>
      </w:r>
    </w:p>
    <w:p>
      <w:r>
        <w:br w:type="page"/>
      </w:r>
    </w:p>
    <w:p>
      <w:pPr>
        <w:pStyle w:val="3"/>
      </w:pPr>
      <w:bookmarkStart w:id="5" w:name="_Toc3276759"/>
      <w:r>
        <w:t>Yelp Restaurant Review</w:t>
      </w:r>
      <w:bookmarkEnd w:id="5"/>
    </w:p>
    <w:p>
      <w:pPr>
        <w:pStyle w:val="3"/>
      </w:pPr>
    </w:p>
    <w:p>
      <w:r>
        <w:t>https://twitter.com/search?vertical=default&amp;q=pizza&amp;src=typd</w:t>
      </w:r>
    </w:p>
    <w:p>
      <w:r>
        <w:rPr>
          <w:lang w:eastAsia="en-CA"/>
        </w:rPr>
        <w:drawing>
          <wp:inline distT="0" distB="0" distL="0" distR="0">
            <wp:extent cx="5943600" cy="703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943600" cy="703580"/>
                    </a:xfrm>
                    <a:prstGeom prst="rect">
                      <a:avLst/>
                    </a:prstGeom>
                  </pic:spPr>
                </pic:pic>
              </a:graphicData>
            </a:graphic>
          </wp:inline>
        </w:drawing>
      </w:r>
    </w:p>
    <w:p>
      <w:r>
        <w:rPr>
          <w:lang w:eastAsia="en-CA"/>
        </w:rPr>
        <w:drawing>
          <wp:inline distT="0" distB="0" distL="0" distR="0">
            <wp:extent cx="4667250" cy="4617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4670987" cy="4621083"/>
                    </a:xfrm>
                    <a:prstGeom prst="rect">
                      <a:avLst/>
                    </a:prstGeom>
                  </pic:spPr>
                </pic:pic>
              </a:graphicData>
            </a:graphic>
          </wp:inline>
        </w:drawing>
      </w:r>
    </w:p>
    <w:p/>
    <w:p>
      <w:pPr>
        <w:pStyle w:val="3"/>
      </w:pPr>
      <w:bookmarkStart w:id="6" w:name="_Toc3271085"/>
      <w:bookmarkStart w:id="7" w:name="_Toc3276760"/>
      <w:r>
        <w:t>Twitter Reviews - Online Food Ordering Services</w:t>
      </w:r>
      <w:bookmarkEnd w:id="6"/>
      <w:bookmarkEnd w:id="7"/>
    </w:p>
    <w:p/>
    <w:p>
      <w:r>
        <w:drawing>
          <wp:inline distT="0" distB="0" distL="0" distR="0">
            <wp:extent cx="5943600" cy="1149350"/>
            <wp:effectExtent l="19050" t="19050" r="19050" b="1270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12"/>
                    <a:srcRect/>
                    <a:stretch>
                      <a:fillRect/>
                    </a:stretch>
                  </pic:blipFill>
                  <pic:spPr>
                    <a:xfrm>
                      <a:off x="0" y="0"/>
                      <a:ext cx="5943600" cy="1149610"/>
                    </a:xfrm>
                    <a:prstGeom prst="rect">
                      <a:avLst/>
                    </a:prstGeom>
                    <a:solidFill>
                      <a:srgbClr val="FFFFFF"/>
                    </a:solidFill>
                    <a:ln w="9525">
                      <a:solidFill>
                        <a:srgbClr val="000000"/>
                      </a:solidFill>
                      <a:miter lim="800000"/>
                      <a:headEnd/>
                      <a:tailEnd/>
                    </a:ln>
                  </pic:spPr>
                </pic:pic>
              </a:graphicData>
            </a:graphic>
          </wp:inline>
        </w:drawing>
      </w:r>
    </w:p>
    <w:p>
      <w:pPr>
        <w:pStyle w:val="3"/>
      </w:pPr>
      <w:bookmarkStart w:id="8" w:name="_Toc3276761"/>
      <w:r>
        <w:t>Air Miles Canada Loyalty data</w:t>
      </w:r>
      <w:bookmarkEnd w:id="8"/>
      <w:r>
        <w:t xml:space="preserve"> </w:t>
      </w:r>
    </w:p>
    <w:p>
      <w:r>
        <w:rPr>
          <w:lang w:eastAsia="en-CA"/>
        </w:rPr>
        <w:drawing>
          <wp:inline distT="0" distB="0" distL="0" distR="0">
            <wp:extent cx="5943600" cy="1321435"/>
            <wp:effectExtent l="19050" t="19050" r="19050" b="1206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13"/>
                    <a:srcRect/>
                    <a:stretch>
                      <a:fillRect/>
                    </a:stretch>
                  </pic:blipFill>
                  <pic:spPr>
                    <a:xfrm>
                      <a:off x="0" y="0"/>
                      <a:ext cx="5943600" cy="1321435"/>
                    </a:xfrm>
                    <a:prstGeom prst="rect">
                      <a:avLst/>
                    </a:prstGeom>
                    <a:solidFill>
                      <a:srgbClr val="FFFFFF"/>
                    </a:solidFill>
                    <a:ln w="9525">
                      <a:solidFill>
                        <a:srgbClr val="000000"/>
                      </a:solidFill>
                      <a:miter lim="800000"/>
                      <a:headEnd/>
                      <a:tailEnd/>
                    </a:ln>
                  </pic:spPr>
                </pic:pic>
              </a:graphicData>
            </a:graphic>
          </wp:inline>
        </w:drawing>
      </w:r>
    </w:p>
    <w:p>
      <w:r>
        <w:rPr>
          <w:lang w:eastAsia="en-CA"/>
        </w:rPr>
        <w:drawing>
          <wp:inline distT="0" distB="0" distL="0" distR="0">
            <wp:extent cx="5943600" cy="513715"/>
            <wp:effectExtent l="19050" t="19050" r="19050" b="1968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14"/>
                    <a:srcRect/>
                    <a:stretch>
                      <a:fillRect/>
                    </a:stretch>
                  </pic:blipFill>
                  <pic:spPr>
                    <a:xfrm>
                      <a:off x="0" y="0"/>
                      <a:ext cx="5943600" cy="513715"/>
                    </a:xfrm>
                    <a:prstGeom prst="rect">
                      <a:avLst/>
                    </a:prstGeom>
                    <a:solidFill>
                      <a:srgbClr val="FFFFFF"/>
                    </a:solidFill>
                    <a:ln w="9525">
                      <a:solidFill>
                        <a:srgbClr val="000000"/>
                      </a:solidFill>
                      <a:miter lim="800000"/>
                      <a:headEnd/>
                      <a:tailEnd/>
                    </a:ln>
                  </pic:spPr>
                </pic:pic>
              </a:graphicData>
            </a:graphic>
          </wp:inline>
        </w:drawing>
      </w:r>
    </w:p>
    <w:p>
      <w:r>
        <w:rPr>
          <w:lang w:eastAsia="en-CA"/>
        </w:rPr>
        <w:drawing>
          <wp:inline distT="0" distB="0" distL="0" distR="0">
            <wp:extent cx="5943600" cy="1723390"/>
            <wp:effectExtent l="19050" t="19050" r="19050" b="1016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15"/>
                    <a:srcRect/>
                    <a:stretch>
                      <a:fillRect/>
                    </a:stretch>
                  </pic:blipFill>
                  <pic:spPr>
                    <a:xfrm>
                      <a:off x="0" y="0"/>
                      <a:ext cx="5943600" cy="1723390"/>
                    </a:xfrm>
                    <a:prstGeom prst="rect">
                      <a:avLst/>
                    </a:prstGeom>
                    <a:solidFill>
                      <a:srgbClr val="FFFFFF"/>
                    </a:solidFill>
                    <a:ln w="9525">
                      <a:solidFill>
                        <a:srgbClr val="000000"/>
                      </a:solidFill>
                      <a:miter lim="800000"/>
                      <a:headEnd/>
                      <a:tailEnd/>
                    </a:ln>
                  </pic:spPr>
                </pic:pic>
              </a:graphicData>
            </a:graphic>
          </wp:inline>
        </w:drawing>
      </w:r>
    </w:p>
    <w:p/>
    <w:p>
      <w:r>
        <w:br w:type="page"/>
      </w:r>
    </w:p>
    <w:p/>
    <w:p>
      <w:pPr>
        <w:pStyle w:val="3"/>
      </w:pPr>
      <w:bookmarkStart w:id="9" w:name="_Toc3276762"/>
      <w:r>
        <w:t>Toronto - 2016_neighbourhood_profiles – Statistics Canada</w:t>
      </w:r>
      <w:bookmarkEnd w:id="9"/>
    </w:p>
    <w:p>
      <w:pPr>
        <w:ind w:left="142"/>
        <w:jc w:val="center"/>
      </w:pPr>
      <w:r>
        <w:rPr>
          <w:lang w:eastAsia="en-CA"/>
        </w:rPr>
        <w:drawing>
          <wp:inline distT="0" distB="0" distL="0" distR="0">
            <wp:extent cx="5959475" cy="7220585"/>
            <wp:effectExtent l="19050" t="19050" r="22225" b="1841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16"/>
                    <a:srcRect/>
                    <a:stretch>
                      <a:fillRect/>
                    </a:stretch>
                  </pic:blipFill>
                  <pic:spPr>
                    <a:xfrm>
                      <a:off x="0" y="0"/>
                      <a:ext cx="5984948" cy="7251651"/>
                    </a:xfrm>
                    <a:prstGeom prst="rect">
                      <a:avLst/>
                    </a:prstGeom>
                    <a:solidFill>
                      <a:srgbClr val="FFFFFF"/>
                    </a:solidFill>
                    <a:ln w="9525">
                      <a:solidFill>
                        <a:srgbClr val="000000"/>
                      </a:solidFill>
                      <a:miter lim="800000"/>
                      <a:headEnd/>
                      <a:tailEnd/>
                    </a:ln>
                  </pic:spPr>
                </pic:pic>
              </a:graphicData>
            </a:graphic>
          </wp:inline>
        </w:drawing>
      </w:r>
    </w:p>
    <w:p/>
    <w:p/>
    <w:p>
      <w:pPr>
        <w:pStyle w:val="2"/>
      </w:pPr>
      <w:bookmarkStart w:id="10" w:name="_Toc3271088"/>
      <w:bookmarkStart w:id="11" w:name="_Toc3276763"/>
      <w:r>
        <w:t>Data set analysis</w:t>
      </w:r>
      <w:bookmarkEnd w:id="10"/>
      <w:bookmarkEnd w:id="11"/>
    </w:p>
    <w:p/>
    <w:p>
      <w:pPr>
        <w:ind w:left="-284"/>
      </w:pPr>
      <w:r>
        <w:drawing>
          <wp:inline distT="0" distB="0" distL="0" distR="0">
            <wp:extent cx="6388735" cy="6181725"/>
            <wp:effectExtent l="19050" t="19050" r="1206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17"/>
                    <a:srcRect/>
                    <a:stretch>
                      <a:fillRect/>
                    </a:stretch>
                  </pic:blipFill>
                  <pic:spPr>
                    <a:xfrm>
                      <a:off x="0" y="0"/>
                      <a:ext cx="6395170" cy="6187464"/>
                    </a:xfrm>
                    <a:prstGeom prst="rect">
                      <a:avLst/>
                    </a:prstGeom>
                    <a:solidFill>
                      <a:srgbClr val="FFFFFF"/>
                    </a:solidFill>
                    <a:ln w="9525">
                      <a:solidFill>
                        <a:srgbClr val="000000"/>
                      </a:solidFill>
                      <a:miter lim="800000"/>
                      <a:headEnd/>
                      <a:tailEnd/>
                    </a:ln>
                  </pic:spPr>
                </pic:pic>
              </a:graphicData>
            </a:graphic>
          </wp:inline>
        </w:drawing>
      </w:r>
    </w:p>
    <w:p>
      <w:pPr>
        <w:rPr>
          <w:sz w:val="20"/>
          <w:szCs w:val="20"/>
        </w:rPr>
      </w:pPr>
    </w:p>
    <w:p>
      <w:pPr>
        <w:rPr>
          <w:rFonts w:asciiTheme="majorHAnsi" w:hAnsiTheme="majorHAnsi" w:eastAsiaTheme="majorEastAsia" w:cstheme="majorBidi"/>
          <w:b/>
          <w:color w:val="548235" w:themeColor="accent6" w:themeShade="BF"/>
          <w:sz w:val="40"/>
          <w:szCs w:val="40"/>
        </w:rPr>
      </w:pPr>
      <w:r>
        <w:br w:type="page"/>
      </w:r>
    </w:p>
    <w:p>
      <w:pPr>
        <w:pStyle w:val="2"/>
      </w:pPr>
      <w:bookmarkStart w:id="12" w:name="_Toc3276764"/>
      <w:r>
        <w:t>Strategic Workloads</w:t>
      </w:r>
      <w:bookmarkEnd w:id="12"/>
    </w:p>
    <w:p/>
    <w:p/>
    <w:p>
      <w:r>
        <w:rPr>
          <w:lang w:eastAsia="en-CA"/>
        </w:rPr>
        <w:drawing>
          <wp:inline distT="0" distB="0" distL="0" distR="0">
            <wp:extent cx="5943600" cy="5283200"/>
            <wp:effectExtent l="19050" t="19050" r="19050" b="1270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8"/>
                    <a:srcRect/>
                    <a:stretch>
                      <a:fillRect/>
                    </a:stretch>
                  </pic:blipFill>
                  <pic:spPr>
                    <a:xfrm>
                      <a:off x="0" y="0"/>
                      <a:ext cx="5943600" cy="5283200"/>
                    </a:xfrm>
                    <a:prstGeom prst="rect">
                      <a:avLst/>
                    </a:prstGeom>
                    <a:solidFill>
                      <a:srgbClr val="FFFFFF"/>
                    </a:solidFill>
                    <a:ln w="9525">
                      <a:solidFill>
                        <a:srgbClr val="000000"/>
                      </a:solidFill>
                      <a:miter lim="800000"/>
                      <a:headEnd/>
                      <a:tailEnd/>
                    </a:ln>
                  </pic:spPr>
                </pic:pic>
              </a:graphicData>
            </a:graphic>
          </wp:inline>
        </w:drawing>
      </w:r>
    </w:p>
    <w:p>
      <w:r>
        <w:br w:type="page"/>
      </w:r>
    </w:p>
    <w:p>
      <w:pPr>
        <w:pStyle w:val="3"/>
        <w:rPr>
          <w:sz w:val="36"/>
          <w:szCs w:val="36"/>
        </w:rPr>
      </w:pPr>
      <w:bookmarkStart w:id="13" w:name="_Toc3276765"/>
      <w:r>
        <w:t>Efficient Life Cycle of Food and Beverage Ingredients</w:t>
      </w:r>
      <w:bookmarkEnd w:id="13"/>
    </w:p>
    <w:p>
      <w:pPr>
        <w:pStyle w:val="15"/>
      </w:pPr>
      <w:r>
        <w:t>The food industry is constantly growing to be able to accommodate the hectic life styles, but customers are still looking for authentic ingredients in their food. The best way for DVP to stay ahead of their competitors is by convert to organic locally grown ingredients, and manufactured foods and beverages. This will allow DVP to have a much more attractive menu while reducing food waste. The food life cycle management will fit perfectly with the new gourmet menu options in the upscale neighborhoods once everything is finalized. The goal is to keep customers satisfied while reducing operational cost. Before we set this new project in motion there are few things to considered</w:t>
      </w:r>
    </w:p>
    <w:p>
      <w:pPr>
        <w:pStyle w:val="15"/>
      </w:pPr>
      <w:r>
        <w:t xml:space="preserve">DVP have to stay on top of new trends to be able to boost their innovation process by doing so it will enable DVP to improve margins that will lead to healthier growth. Quick and accurate introductions of innovative products will give DVP a competitive advantage if they properly launch new menu selections and concept developments. </w:t>
      </w:r>
    </w:p>
    <w:p>
      <w:pPr>
        <w:pStyle w:val="15"/>
      </w:pPr>
      <w:r>
        <w:t>The food service industry is facing extreme regulatory compliance requirements at the moment: both locally and on a global scale. It is imperative for Da Vinci’s Pizza to incorporate safe food practices to comply with the constantly updating regulations.</w:t>
      </w:r>
    </w:p>
    <w:p>
      <w:pPr>
        <w:pStyle w:val="15"/>
      </w:pPr>
      <w:r>
        <w:t xml:space="preserve">To gain a competitive advantages, Da Vinci Pizza should implement a Food Service Platform to manage their products menus life cycle. A </w:t>
      </w:r>
      <w:r>
        <w:fldChar w:fldCharType="begin"/>
      </w:r>
      <w:r>
        <w:instrText xml:space="preserve"> HYPERLINK "https://www.lascom.com/solutions/plm-software-food-service-and-catering/" </w:instrText>
      </w:r>
      <w:r>
        <w:fldChar w:fldCharType="separate"/>
      </w:r>
      <w:r>
        <w:rPr>
          <w:rStyle w:val="23"/>
          <w:color w:val="auto"/>
          <w:u w:val="none"/>
        </w:rPr>
        <w:t>Product Lifecycle Management solution for food service management</w:t>
      </w:r>
      <w:r>
        <w:rPr>
          <w:rStyle w:val="23"/>
          <w:color w:val="auto"/>
          <w:u w:val="none"/>
        </w:rPr>
        <w:fldChar w:fldCharType="end"/>
      </w:r>
      <w:r>
        <w:t xml:space="preserve"> is a powerful tool to help companies with daily challenges. </w:t>
      </w:r>
      <w:r>
        <w:rPr>
          <w:rStyle w:val="24"/>
          <w:b w:val="0"/>
          <w:bCs w:val="0"/>
        </w:rPr>
        <w:t>Below are some key functions that the software would have.</w:t>
      </w:r>
    </w:p>
    <w:p>
      <w:pPr>
        <w:pStyle w:val="15"/>
        <w:rPr>
          <w:b/>
          <w:sz w:val="16"/>
          <w:szCs w:val="16"/>
        </w:rPr>
      </w:pPr>
      <w:r>
        <w:rPr>
          <w:b/>
        </w:rPr>
        <w:t>Food Service Software Key Functions</w:t>
      </w:r>
    </w:p>
    <w:p>
      <w:pPr>
        <w:pStyle w:val="15"/>
        <w:numPr>
          <w:ilvl w:val="0"/>
          <w:numId w:val="1"/>
        </w:numPr>
      </w:pPr>
      <w:r>
        <w:rPr>
          <w:lang w:bidi="ar"/>
        </w:rPr>
        <w:t>Supervise development of new recipes, ranges, menus</w:t>
      </w:r>
    </w:p>
    <w:p>
      <w:pPr>
        <w:pStyle w:val="15"/>
        <w:numPr>
          <w:ilvl w:val="0"/>
          <w:numId w:val="1"/>
        </w:numPr>
      </w:pPr>
      <w:r>
        <w:rPr>
          <w:lang w:bidi="ar"/>
        </w:rPr>
        <w:t>Manage changes</w:t>
      </w:r>
    </w:p>
    <w:p>
      <w:pPr>
        <w:pStyle w:val="15"/>
        <w:numPr>
          <w:ilvl w:val="0"/>
          <w:numId w:val="1"/>
        </w:numPr>
      </w:pPr>
      <w:r>
        <w:rPr>
          <w:lang w:bidi="ar"/>
        </w:rPr>
        <w:t>Calculate product prices considering supplier prices</w:t>
      </w:r>
    </w:p>
    <w:p>
      <w:pPr>
        <w:pStyle w:val="15"/>
        <w:numPr>
          <w:ilvl w:val="0"/>
          <w:numId w:val="1"/>
        </w:numPr>
      </w:pPr>
      <w:r>
        <w:fldChar w:fldCharType="begin"/>
      </w:r>
      <w:r>
        <w:instrText xml:space="preserve"> HYPERLINK "https://www.lascom.com/challenges/food-compliance/" </w:instrText>
      </w:r>
      <w:r>
        <w:fldChar w:fldCharType="separate"/>
      </w:r>
      <w:r>
        <w:rPr>
          <w:rStyle w:val="23"/>
          <w:rFonts w:hAnsi="&amp;quot" w:eastAsia="&amp;quot" w:cs="&amp;quot"/>
        </w:rPr>
        <w:t>Regulatory compliance</w:t>
      </w:r>
      <w:r>
        <w:rPr>
          <w:rStyle w:val="23"/>
          <w:rFonts w:hAnsi="&amp;quot" w:eastAsia="&amp;quot" w:cs="&amp;quot"/>
        </w:rPr>
        <w:fldChar w:fldCharType="end"/>
      </w:r>
    </w:p>
    <w:p>
      <w:pPr>
        <w:pStyle w:val="15"/>
        <w:numPr>
          <w:ilvl w:val="0"/>
          <w:numId w:val="1"/>
        </w:numPr>
      </w:pPr>
      <w:r>
        <w:rPr>
          <w:lang w:bidi="ar"/>
        </w:rPr>
        <w:t>Traceability</w:t>
      </w:r>
    </w:p>
    <w:p>
      <w:pPr>
        <w:pStyle w:val="15"/>
        <w:numPr>
          <w:ilvl w:val="0"/>
          <w:numId w:val="1"/>
        </w:numPr>
        <w:rPr>
          <w:lang w:bidi="ar"/>
        </w:rPr>
      </w:pPr>
      <w:r>
        <w:rPr>
          <w:lang w:bidi="ar"/>
        </w:rPr>
        <w:t>Non-conformances and claims management</w:t>
      </w:r>
    </w:p>
    <w:p>
      <w:pPr>
        <w:pStyle w:val="15"/>
        <w:numPr>
          <w:ilvl w:val="0"/>
          <w:numId w:val="1"/>
        </w:numPr>
      </w:pPr>
      <w:r>
        <w:t>Optimize collaboration</w:t>
      </w:r>
    </w:p>
    <w:p>
      <w:pPr>
        <w:pStyle w:val="15"/>
        <w:numPr>
          <w:ilvl w:val="0"/>
          <w:numId w:val="1"/>
        </w:numPr>
      </w:pPr>
      <w:r>
        <w:rPr>
          <w:lang w:bidi="ar"/>
        </w:rPr>
        <w:t>Centralized data and documents about products and menus</w:t>
      </w:r>
    </w:p>
    <w:p>
      <w:pPr>
        <w:pStyle w:val="15"/>
        <w:numPr>
          <w:ilvl w:val="0"/>
          <w:numId w:val="1"/>
        </w:numPr>
        <w:rPr>
          <w:rFonts w:asciiTheme="minorHAnsi"/>
        </w:rPr>
      </w:pPr>
      <w:r>
        <w:rPr>
          <w:rFonts w:asciiTheme="minorHAnsi"/>
        </w:rPr>
        <w:t xml:space="preserve">Management of </w:t>
      </w:r>
      <w:r>
        <w:fldChar w:fldCharType="begin"/>
      </w:r>
      <w:r>
        <w:instrText xml:space="preserve"> HYPERLINK "https://www.lascom.com/challenges/product-formulation-management/" </w:instrText>
      </w:r>
      <w:r>
        <w:fldChar w:fldCharType="separate"/>
      </w:r>
      <w:r>
        <w:rPr>
          <w:rStyle w:val="23"/>
          <w:rFonts w:hAnsi="&amp;quot" w:eastAsia="&amp;quot" w:cs="&amp;quot" w:asciiTheme="minorHAnsi"/>
        </w:rPr>
        <w:t>menu formulation</w:t>
      </w:r>
      <w:r>
        <w:rPr>
          <w:rStyle w:val="23"/>
          <w:rFonts w:hAnsi="&amp;quot" w:eastAsia="&amp;quot" w:cs="&amp;quot" w:asciiTheme="minorHAnsi"/>
        </w:rPr>
        <w:fldChar w:fldCharType="end"/>
      </w:r>
      <w:r>
        <w:rPr>
          <w:rFonts w:asciiTheme="minorHAnsi"/>
        </w:rPr>
        <w:t xml:space="preserve"> and “in-store” labeling</w:t>
      </w:r>
    </w:p>
    <w:p>
      <w:pPr>
        <w:rPr>
          <w:rFonts w:hAnsi="Times New Roman" w:eastAsia="SimSun" w:cs="Times New Roman"/>
          <w:sz w:val="24"/>
          <w:szCs w:val="24"/>
          <w:lang w:val="en-US" w:eastAsia="zh-CN"/>
        </w:rPr>
      </w:pPr>
      <w:r>
        <w:br w:type="page"/>
      </w:r>
    </w:p>
    <w:p>
      <w:pPr>
        <w:pStyle w:val="15"/>
        <w:rPr>
          <w:b/>
        </w:rPr>
      </w:pPr>
      <w:r>
        <w:rPr>
          <w:b/>
        </w:rPr>
        <w:t>Benefits of Food Service Management</w:t>
      </w:r>
    </w:p>
    <w:p>
      <w:pPr>
        <w:rPr>
          <w:color w:val="2E75B6" w:themeColor="accent1" w:themeShade="BF"/>
          <w:sz w:val="11"/>
          <w:szCs w:val="11"/>
          <w:u w:val="single"/>
        </w:rPr>
      </w:pPr>
    </w:p>
    <w:tbl>
      <w:tblPr>
        <w:tblStyle w:val="25"/>
        <w:tblW w:w="9521" w:type="dxa"/>
        <w:tblInd w:w="0" w:type="dxa"/>
        <w:tblLayout w:type="fixed"/>
        <w:tblCellMar>
          <w:top w:w="15" w:type="dxa"/>
          <w:left w:w="15" w:type="dxa"/>
          <w:bottom w:w="15" w:type="dxa"/>
          <w:right w:w="15" w:type="dxa"/>
        </w:tblCellMar>
      </w:tblPr>
      <w:tblGrid>
        <w:gridCol w:w="3377"/>
        <w:gridCol w:w="2784"/>
        <w:gridCol w:w="312"/>
        <w:gridCol w:w="3048"/>
      </w:tblGrid>
      <w:tr>
        <w:tblPrEx>
          <w:tblLayout w:type="fixed"/>
          <w:tblCellMar>
            <w:top w:w="15" w:type="dxa"/>
            <w:left w:w="15" w:type="dxa"/>
            <w:bottom w:w="15" w:type="dxa"/>
            <w:right w:w="15" w:type="dxa"/>
          </w:tblCellMar>
        </w:tblPrEx>
        <w:trPr>
          <w:trHeight w:val="228" w:hRule="atLeast"/>
        </w:trPr>
        <w:tc>
          <w:tcPr>
            <w:tcW w:w="3377" w:type="dxa"/>
            <w:tcBorders>
              <w:top w:val="single" w:color="9BC2E6" w:sz="4" w:space="0"/>
              <w:left w:val="single" w:color="9BC2E6" w:sz="4" w:space="0"/>
              <w:bottom w:val="single" w:color="9BC2E6" w:sz="4" w:space="0"/>
            </w:tcBorders>
            <w:shd w:val="clear" w:color="5B9BD5" w:fill="5B9BD5"/>
            <w:vAlign w:val="center"/>
          </w:tcPr>
          <w:p>
            <w:pP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Productivity Improvement</w:t>
            </w:r>
          </w:p>
        </w:tc>
        <w:tc>
          <w:tcPr>
            <w:tcW w:w="2784" w:type="dxa"/>
            <w:tcBorders>
              <w:top w:val="single" w:color="9BC2E6" w:sz="4" w:space="0"/>
              <w:bottom w:val="single" w:color="9BC2E6" w:sz="4" w:space="0"/>
            </w:tcBorders>
            <w:shd w:val="clear" w:color="5B9BD5" w:fill="5B9BD5"/>
            <w:vAlign w:val="center"/>
          </w:tcPr>
          <w:p>
            <w:pP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 xml:space="preserve">Quality </w:t>
            </w:r>
            <w:r>
              <w:rPr>
                <w:rFonts w:ascii="Calibri" w:hAnsi="Calibri" w:eastAsia="SimSun" w:cs="Calibri"/>
                <w:b/>
                <w:color w:val="FFFFFF"/>
                <w:sz w:val="22"/>
                <w:szCs w:val="22"/>
                <w:lang w:eastAsia="zh-CN" w:bidi="ar"/>
              </w:rPr>
              <w:t>Improvement</w:t>
            </w:r>
          </w:p>
        </w:tc>
        <w:tc>
          <w:tcPr>
            <w:tcW w:w="3360" w:type="dxa"/>
            <w:gridSpan w:val="2"/>
            <w:tcBorders>
              <w:top w:val="single" w:color="9BC2E6" w:sz="4" w:space="0"/>
              <w:bottom w:val="single" w:color="9BC2E6" w:sz="4" w:space="0"/>
              <w:right w:val="single" w:color="9BC2E6" w:sz="4" w:space="0"/>
            </w:tcBorders>
            <w:shd w:val="clear" w:color="5B9BD5" w:fill="5B9BD5"/>
            <w:vAlign w:val="center"/>
          </w:tcPr>
          <w:p>
            <w:pP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 xml:space="preserve">Strategy </w:t>
            </w:r>
            <w:r>
              <w:rPr>
                <w:rFonts w:ascii="Calibri" w:hAnsi="Calibri" w:eastAsia="SimSun" w:cs="Calibri"/>
                <w:b/>
                <w:color w:val="FFFFFF"/>
                <w:sz w:val="22"/>
                <w:szCs w:val="22"/>
                <w:lang w:eastAsia="zh-CN" w:bidi="ar"/>
              </w:rPr>
              <w:t>Improvement</w:t>
            </w:r>
          </w:p>
        </w:tc>
      </w:tr>
      <w:tr>
        <w:tblPrEx>
          <w:tblLayout w:type="fixed"/>
          <w:tblCellMar>
            <w:top w:w="15" w:type="dxa"/>
            <w:left w:w="15" w:type="dxa"/>
            <w:bottom w:w="15" w:type="dxa"/>
            <w:right w:w="15" w:type="dxa"/>
          </w:tblCellMar>
        </w:tblPrEx>
        <w:trPr>
          <w:trHeight w:val="2593" w:hRule="atLeast"/>
        </w:trPr>
        <w:tc>
          <w:tcPr>
            <w:tcW w:w="3377" w:type="dxa"/>
            <w:tcBorders>
              <w:top w:val="single" w:color="9BC2E6" w:sz="4" w:space="0"/>
              <w:left w:val="single" w:color="9BC2E6" w:sz="4" w:space="0"/>
              <w:bottom w:val="single" w:color="9BC2E6" w:sz="4"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Avoiding information retrieval</w:t>
            </w:r>
            <w:r>
              <w:rPr>
                <w:rFonts w:ascii="Calibri" w:hAnsi="Calibri" w:eastAsia="SimSun" w:cs="Calibri"/>
                <w:color w:val="000000"/>
                <w:sz w:val="22"/>
                <w:szCs w:val="22"/>
                <w:lang w:val="en-US" w:eastAsia="zh-CN" w:bidi="ar"/>
              </w:rPr>
              <w:br w:type="textWrapping"/>
            </w: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Standardizing information</w:t>
            </w:r>
            <w:r>
              <w:rPr>
                <w:rFonts w:ascii="Calibri" w:hAnsi="Calibri" w:eastAsia="SimSun" w:cs="Calibri"/>
                <w:color w:val="000000"/>
                <w:sz w:val="22"/>
                <w:szCs w:val="22"/>
                <w:lang w:val="en-US" w:eastAsia="zh-CN" w:bidi="ar"/>
              </w:rPr>
              <w:br w:type="textWrapping"/>
            </w: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Internal and external exchange cycle reduced by 70%</w:t>
            </w:r>
            <w:r>
              <w:rPr>
                <w:rFonts w:ascii="Calibri" w:hAnsi="Calibri" w:eastAsia="SimSun" w:cs="Calibri"/>
                <w:color w:val="000000"/>
                <w:sz w:val="22"/>
                <w:szCs w:val="22"/>
                <w:lang w:val="en-US" w:eastAsia="zh-CN" w:bidi="ar"/>
              </w:rPr>
              <w:br w:type="textWrapping"/>
            </w: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Automatic generation of documentation product sheet, list of ingredients</w:t>
            </w:r>
          </w:p>
        </w:tc>
        <w:tc>
          <w:tcPr>
            <w:tcW w:w="3096" w:type="dxa"/>
            <w:gridSpan w:val="2"/>
            <w:tcBorders>
              <w:top w:val="single" w:color="9BC2E6" w:sz="4" w:space="0"/>
              <w:bottom w:val="single" w:color="9BC2E6" w:sz="4" w:space="0"/>
            </w:tcBorders>
            <w:shd w:val="clear" w:color="DDEBF7" w:fill="DDEBF7"/>
            <w:vAlign w:val="center"/>
          </w:tcPr>
          <w:p>
            <w:pPr>
              <w:textAlignment w:val="center"/>
              <w:rPr>
                <w:rFonts w:ascii="Calibri" w:hAnsi="Calibri" w:eastAsia="SimSun" w:cs="Calibri"/>
                <w:color w:val="000000"/>
                <w:sz w:val="22"/>
                <w:szCs w:val="22"/>
                <w:lang w:bidi="ar"/>
              </w:rPr>
            </w:pPr>
          </w:p>
          <w:p>
            <w:pPr>
              <w:textAlignment w:val="center"/>
              <w:rPr>
                <w:rFonts w:ascii="Calibri" w:hAnsi="Calibri" w:cs="Calibri"/>
                <w:color w:val="000000"/>
                <w:sz w:val="22"/>
                <w:szCs w:val="22"/>
              </w:rPr>
            </w:pP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Manage the impacts of changes</w:t>
            </w:r>
            <w:r>
              <w:rPr>
                <w:rFonts w:ascii="Calibri" w:hAnsi="Calibri" w:eastAsia="SimSun" w:cs="Calibri"/>
                <w:color w:val="000000"/>
                <w:sz w:val="22"/>
                <w:szCs w:val="22"/>
                <w:lang w:val="en-US" w:eastAsia="zh-CN" w:bidi="ar"/>
              </w:rPr>
              <w:br w:type="textWrapping"/>
            </w: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Trace all exchanges</w:t>
            </w:r>
            <w:r>
              <w:rPr>
                <w:rFonts w:ascii="Calibri" w:hAnsi="Calibri" w:eastAsia="SimSun" w:cs="Calibri"/>
                <w:color w:val="000000"/>
                <w:sz w:val="22"/>
                <w:szCs w:val="22"/>
                <w:lang w:val="en-US" w:eastAsia="zh-CN" w:bidi="ar"/>
              </w:rPr>
              <w:br w:type="textWrapping"/>
            </w: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Simplify the management of health alerts on menus and products</w:t>
            </w:r>
            <w:r>
              <w:rPr>
                <w:rFonts w:ascii="Calibri" w:hAnsi="Calibri" w:eastAsia="SimSun" w:cs="Calibri"/>
                <w:color w:val="000000"/>
                <w:sz w:val="22"/>
                <w:szCs w:val="22"/>
                <w:lang w:val="en-US" w:eastAsia="zh-CN" w:bidi="ar"/>
              </w:rPr>
              <w:br w:type="textWrapping"/>
            </w: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Ensuring regulatory compliance</w:t>
            </w:r>
            <w:r>
              <w:rPr>
                <w:rFonts w:ascii="Calibri" w:hAnsi="Calibri" w:eastAsia="SimSun" w:cs="Calibri"/>
                <w:color w:val="000000"/>
                <w:sz w:val="22"/>
                <w:szCs w:val="22"/>
                <w:lang w:val="en-US" w:eastAsia="zh-CN" w:bidi="ar"/>
              </w:rPr>
              <w:br w:type="textWrapping"/>
            </w: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Time spent on checks quality reduced by 30%</w:t>
            </w:r>
          </w:p>
        </w:tc>
        <w:tc>
          <w:tcPr>
            <w:tcW w:w="3048" w:type="dxa"/>
            <w:tcBorders>
              <w:top w:val="single" w:color="9BC2E6" w:sz="4" w:space="0"/>
              <w:bottom w:val="single" w:color="9BC2E6" w:sz="4" w:space="0"/>
              <w:right w:val="single" w:color="9BC2E6" w:sz="4" w:space="0"/>
            </w:tcBorders>
            <w:shd w:val="clear" w:color="DDEBF7" w:fill="DDEBF7"/>
            <w:vAlign w:val="center"/>
          </w:tcPr>
          <w:p>
            <w:pPr>
              <w:textAlignment w:val="center"/>
              <w:rPr>
                <w:rFonts w:ascii="Calibri" w:hAnsi="Calibri" w:eastAsia="SimSun" w:cs="Calibri"/>
                <w:color w:val="000000"/>
                <w:sz w:val="22"/>
                <w:szCs w:val="22"/>
                <w:lang w:bidi="ar"/>
              </w:rPr>
            </w:pPr>
          </w:p>
          <w:p>
            <w:pPr>
              <w:textAlignment w:val="center"/>
              <w:rPr>
                <w:rFonts w:ascii="Calibri" w:hAnsi="Calibri" w:eastAsia="SimSun" w:cs="Calibri"/>
                <w:color w:val="000000"/>
                <w:sz w:val="22"/>
                <w:szCs w:val="22"/>
                <w:lang w:bidi="ar"/>
              </w:rPr>
            </w:pP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Have an overview of development processes</w:t>
            </w:r>
            <w:r>
              <w:rPr>
                <w:rFonts w:ascii="Calibri" w:hAnsi="Calibri" w:eastAsia="SimSun" w:cs="Calibri"/>
                <w:color w:val="000000"/>
                <w:sz w:val="22"/>
                <w:szCs w:val="22"/>
                <w:lang w:val="en-US" w:eastAsia="zh-CN" w:bidi="ar"/>
              </w:rPr>
              <w:br w:type="textWrapping"/>
            </w: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Master the costs</w:t>
            </w:r>
          </w:p>
          <w:p>
            <w:pPr>
              <w:textAlignment w:val="center"/>
              <w:rPr>
                <w:rFonts w:ascii="Calibri" w:hAnsi="Calibri" w:cs="Calibri"/>
                <w:color w:val="000000"/>
                <w:sz w:val="22"/>
                <w:szCs w:val="22"/>
              </w:rPr>
            </w:pP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Monitor compliance with deadlines and tasks</w:t>
            </w:r>
            <w:r>
              <w:rPr>
                <w:rFonts w:ascii="Calibri" w:hAnsi="Calibri" w:eastAsia="SimSun" w:cs="Calibri"/>
                <w:color w:val="000000"/>
                <w:sz w:val="22"/>
                <w:szCs w:val="22"/>
                <w:lang w:val="en-US" w:eastAsia="zh-CN" w:bidi="ar"/>
              </w:rPr>
              <w:br w:type="textWrapping"/>
            </w: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Prioritize projects and manage the portfolio of existing products</w:t>
            </w:r>
            <w:r>
              <w:rPr>
                <w:rFonts w:ascii="Calibri" w:hAnsi="Calibri" w:eastAsia="SimSun" w:cs="Calibri"/>
                <w:color w:val="000000"/>
                <w:sz w:val="22"/>
                <w:szCs w:val="22"/>
                <w:lang w:val="en-US" w:eastAsia="zh-CN" w:bidi="ar"/>
              </w:rPr>
              <w:br w:type="textWrapping"/>
            </w:r>
            <w:r>
              <w:rPr>
                <w:rFonts w:ascii="Calibri" w:hAnsi="Calibri" w:eastAsia="SimSun" w:cs="Calibri"/>
                <w:color w:val="000000"/>
                <w:sz w:val="22"/>
                <w:szCs w:val="22"/>
                <w:lang w:eastAsia="zh-CN" w:bidi="ar"/>
              </w:rPr>
              <w:t xml:space="preserve">- </w:t>
            </w:r>
            <w:r>
              <w:rPr>
                <w:rFonts w:ascii="Calibri" w:hAnsi="Calibri" w:eastAsia="SimSun" w:cs="Calibri"/>
                <w:color w:val="000000"/>
                <w:sz w:val="22"/>
                <w:szCs w:val="22"/>
                <w:lang w:val="en-US" w:eastAsia="zh-CN" w:bidi="ar"/>
              </w:rPr>
              <w:t>Building a strategic business vision</w:t>
            </w:r>
            <w:r>
              <w:rPr>
                <w:rFonts w:ascii="Calibri" w:hAnsi="Calibri" w:eastAsia="SimSun" w:cs="Calibri"/>
                <w:color w:val="000000"/>
                <w:sz w:val="22"/>
                <w:szCs w:val="22"/>
                <w:lang w:val="en-US" w:eastAsia="zh-CN" w:bidi="ar"/>
              </w:rPr>
              <w:br w:type="textWrapping"/>
            </w:r>
            <w:r>
              <w:rPr>
                <w:rFonts w:ascii="Calibri" w:hAnsi="Calibri" w:eastAsia="SimSun" w:cs="Calibri"/>
                <w:color w:val="000000"/>
                <w:sz w:val="22"/>
                <w:szCs w:val="22"/>
                <w:lang w:val="en-US" w:eastAsia="zh-CN" w:bidi="ar"/>
              </w:rPr>
              <w:t>Time-to-market reduced by 30%</w:t>
            </w:r>
          </w:p>
        </w:tc>
      </w:tr>
    </w:tbl>
    <w:p>
      <w:pPr>
        <w:pStyle w:val="15"/>
        <w:rPr>
          <w:rFonts w:ascii="Calibri" w:hAnsi="Calibri" w:cs="Calibri"/>
          <w:color w:val="222222"/>
          <w:sz w:val="20"/>
          <w:szCs w:val="20"/>
          <w:lang w:val="en-CA"/>
        </w:rPr>
      </w:pPr>
    </w:p>
    <w:p>
      <w:pPr>
        <w:pStyle w:val="15"/>
        <w:rPr>
          <w:rFonts w:ascii="Calibri" w:hAnsi="Calibri" w:cs="Calibri"/>
          <w:b/>
          <w:lang w:val="en-CA"/>
        </w:rPr>
      </w:pPr>
      <w:r>
        <w:rPr>
          <w:rFonts w:ascii="Calibri" w:hAnsi="Calibri" w:cs="Calibri"/>
          <w:b/>
          <w:lang w:val="en-CA"/>
        </w:rPr>
        <w:t>Food Service Management Software Success Stories</w:t>
      </w:r>
    </w:p>
    <w:p>
      <w:pPr>
        <w:pStyle w:val="5"/>
        <w:spacing w:after="210" w:line="279" w:lineRule="atLeast"/>
        <w:rPr>
          <w:rFonts w:ascii="&amp;quot" w:hAnsi="&amp;quot" w:eastAsia="&amp;quot" w:cs="&amp;quot"/>
          <w:color w:val="393939"/>
          <w:sz w:val="20"/>
          <w:szCs w:val="20"/>
        </w:rPr>
      </w:pPr>
      <w:r>
        <w:rPr>
          <w:sz w:val="20"/>
          <w:lang w:eastAsia="en-CA"/>
        </w:rPr>
        <mc:AlternateContent>
          <mc:Choice Requires="wps">
            <w:drawing>
              <wp:anchor distT="0" distB="0" distL="114300" distR="114300" simplePos="0" relativeHeight="251670528" behindDoc="0" locked="0" layoutInCell="1" allowOverlap="1">
                <wp:simplePos x="0" y="0"/>
                <wp:positionH relativeFrom="column">
                  <wp:posOffset>-83820</wp:posOffset>
                </wp:positionH>
                <wp:positionV relativeFrom="paragraph">
                  <wp:posOffset>125095</wp:posOffset>
                </wp:positionV>
                <wp:extent cx="5636895" cy="1793240"/>
                <wp:effectExtent l="4445" t="4445" r="12700" b="15875"/>
                <wp:wrapNone/>
                <wp:docPr id="36" name="Text Box 36"/>
                <wp:cNvGraphicFramePr/>
                <a:graphic xmlns:a="http://schemas.openxmlformats.org/drawingml/2006/main">
                  <a:graphicData uri="http://schemas.microsoft.com/office/word/2010/wordprocessingShape">
                    <wps:wsp>
                      <wps:cNvSpPr txBox="1"/>
                      <wps:spPr>
                        <a:xfrm rot="10800000" flipV="1">
                          <a:off x="1048385" y="4491355"/>
                          <a:ext cx="5636895" cy="1793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ascii="&amp;quot" w:hAnsi="&amp;quot" w:eastAsia="&amp;quot" w:cs="&amp;quot"/>
                                <w:color w:val="393939"/>
                                <w:lang w:eastAsia="en-CA"/>
                              </w:rPr>
                              <w:drawing>
                                <wp:inline distT="0" distB="0" distL="114300" distR="114300">
                                  <wp:extent cx="1303020" cy="765810"/>
                                  <wp:effectExtent l="0" t="0" r="7620" b="11430"/>
                                  <wp:docPr id="19"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IMG_270"/>
                                          <pic:cNvPicPr>
                                            <a:picLocks noChangeAspect="1"/>
                                          </pic:cNvPicPr>
                                        </pic:nvPicPr>
                                        <pic:blipFill>
                                          <a:blip r:embed="rId19"/>
                                          <a:stretch>
                                            <a:fillRect/>
                                          </a:stretch>
                                        </pic:blipFill>
                                        <pic:spPr>
                                          <a:xfrm>
                                            <a:off x="0" y="0"/>
                                            <a:ext cx="1303020" cy="765810"/>
                                          </a:xfrm>
                                          <a:prstGeom prst="rect">
                                            <a:avLst/>
                                          </a:prstGeom>
                                          <a:noFill/>
                                          <a:ln w="9525">
                                            <a:noFill/>
                                          </a:ln>
                                        </pic:spPr>
                                      </pic:pic>
                                    </a:graphicData>
                                  </a:graphic>
                                </wp:inline>
                              </w:drawing>
                            </w:r>
                            <w:r>
                              <w:rPr>
                                <w:rFonts w:ascii="&amp;quot" w:hAnsi="&amp;quot" w:eastAsia="&amp;quot" w:cs="&amp;quot"/>
                                <w:color w:val="393939"/>
                                <w:lang w:eastAsia="en-CA"/>
                              </w:rPr>
                              <w:drawing>
                                <wp:inline distT="0" distB="0" distL="114300" distR="114300">
                                  <wp:extent cx="1905000" cy="685800"/>
                                  <wp:effectExtent l="0" t="0" r="0" b="0"/>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20"/>
                                          <a:stretch>
                                            <a:fillRect/>
                                          </a:stretch>
                                        </pic:blipFill>
                                        <pic:spPr>
                                          <a:xfrm>
                                            <a:off x="0" y="0"/>
                                            <a:ext cx="1905000" cy="685800"/>
                                          </a:xfrm>
                                          <a:prstGeom prst="rect">
                                            <a:avLst/>
                                          </a:prstGeom>
                                          <a:noFill/>
                                          <a:ln w="9525">
                                            <a:noFill/>
                                          </a:ln>
                                        </pic:spPr>
                                      </pic:pic>
                                    </a:graphicData>
                                  </a:graphic>
                                </wp:inline>
                              </w:drawing>
                            </w:r>
                            <w:r>
                              <w:rPr>
                                <w:rFonts w:ascii="&amp;quot" w:hAnsi="&amp;quot" w:eastAsia="&amp;quot" w:cs="&amp;quot"/>
                                <w:color w:val="393939"/>
                                <w:lang w:eastAsia="en-CA"/>
                              </w:rPr>
                              <w:drawing>
                                <wp:inline distT="0" distB="0" distL="114300" distR="114300">
                                  <wp:extent cx="1905000" cy="695325"/>
                                  <wp:effectExtent l="0" t="0" r="0" b="5715"/>
                                  <wp:docPr id="21"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IMG_261"/>
                                          <pic:cNvPicPr>
                                            <a:picLocks noChangeAspect="1"/>
                                          </pic:cNvPicPr>
                                        </pic:nvPicPr>
                                        <pic:blipFill>
                                          <a:blip r:embed="rId21"/>
                                          <a:stretch>
                                            <a:fillRect/>
                                          </a:stretch>
                                        </pic:blipFill>
                                        <pic:spPr>
                                          <a:xfrm>
                                            <a:off x="0" y="0"/>
                                            <a:ext cx="1905000" cy="695325"/>
                                          </a:xfrm>
                                          <a:prstGeom prst="rect">
                                            <a:avLst/>
                                          </a:prstGeom>
                                          <a:noFill/>
                                          <a:ln w="9525">
                                            <a:noFill/>
                                          </a:ln>
                                        </pic:spPr>
                                      </pic:pic>
                                    </a:graphicData>
                                  </a:graphic>
                                </wp:inline>
                              </w:drawing>
                            </w:r>
                            <w:r>
                              <w:rPr>
                                <w:rFonts w:ascii="&amp;quot" w:hAnsi="&amp;quot" w:eastAsia="&amp;quot" w:cs="&amp;quot"/>
                                <w:color w:val="393939"/>
                                <w:lang w:eastAsia="en-CA"/>
                              </w:rPr>
                              <w:drawing>
                                <wp:inline distT="0" distB="0" distL="114300" distR="114300">
                                  <wp:extent cx="1280160" cy="773430"/>
                                  <wp:effectExtent l="0" t="0" r="0" b="3810"/>
                                  <wp:docPr id="2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8"/>
                                          <pic:cNvPicPr>
                                            <a:picLocks noChangeAspect="1"/>
                                          </pic:cNvPicPr>
                                        </pic:nvPicPr>
                                        <pic:blipFill>
                                          <a:blip r:embed="rId22"/>
                                          <a:srcRect t="27294" b="24941"/>
                                          <a:stretch>
                                            <a:fillRect/>
                                          </a:stretch>
                                        </pic:blipFill>
                                        <pic:spPr>
                                          <a:xfrm>
                                            <a:off x="0" y="0"/>
                                            <a:ext cx="1280160" cy="773430"/>
                                          </a:xfrm>
                                          <a:prstGeom prst="rect">
                                            <a:avLst/>
                                          </a:prstGeom>
                                          <a:noFill/>
                                          <a:ln w="9525">
                                            <a:noFill/>
                                          </a:ln>
                                        </pic:spPr>
                                      </pic:pic>
                                    </a:graphicData>
                                  </a:graphic>
                                </wp:inline>
                              </w:drawing>
                            </w:r>
                            <w:r>
                              <w:rPr>
                                <w:rFonts w:ascii="&amp;quot" w:hAnsi="&amp;quot" w:eastAsia="&amp;quot" w:cs="&amp;quot"/>
                                <w:color w:val="393939"/>
                                <w:lang w:eastAsia="en-CA"/>
                              </w:rPr>
                              <w:drawing>
                                <wp:inline distT="0" distB="0" distL="114300" distR="114300">
                                  <wp:extent cx="1914525" cy="558165"/>
                                  <wp:effectExtent l="0" t="0" r="5715" b="5715"/>
                                  <wp:docPr id="23"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IMG_263"/>
                                          <pic:cNvPicPr>
                                            <a:picLocks noChangeAspect="1"/>
                                          </pic:cNvPicPr>
                                        </pic:nvPicPr>
                                        <pic:blipFill>
                                          <a:blip r:embed="rId23"/>
                                          <a:stretch>
                                            <a:fillRect/>
                                          </a:stretch>
                                        </pic:blipFill>
                                        <pic:spPr>
                                          <a:xfrm>
                                            <a:off x="0" y="0"/>
                                            <a:ext cx="1914525" cy="558165"/>
                                          </a:xfrm>
                                          <a:prstGeom prst="rect">
                                            <a:avLst/>
                                          </a:prstGeom>
                                          <a:noFill/>
                                          <a:ln w="9525">
                                            <a:noFill/>
                                          </a:ln>
                                        </pic:spPr>
                                      </pic:pic>
                                    </a:graphicData>
                                  </a:graphic>
                                </wp:inline>
                              </w:drawing>
                            </w:r>
                            <w:r>
                              <w:rPr>
                                <w:rFonts w:ascii="&amp;quot" w:hAnsi="&amp;quot" w:eastAsia="&amp;quot" w:cs="&amp;quot"/>
                                <w:color w:val="393939"/>
                                <w:lang w:eastAsia="en-CA"/>
                              </w:rPr>
                              <w:drawing>
                                <wp:inline distT="0" distB="0" distL="114300" distR="114300">
                                  <wp:extent cx="1905000" cy="560070"/>
                                  <wp:effectExtent l="0" t="0" r="0" b="3810"/>
                                  <wp:docPr id="24" name="Picture 24"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71"/>
                                          <pic:cNvPicPr>
                                            <a:picLocks noChangeAspect="1"/>
                                          </pic:cNvPicPr>
                                        </pic:nvPicPr>
                                        <pic:blipFill>
                                          <a:blip r:embed="rId24"/>
                                          <a:stretch>
                                            <a:fillRect/>
                                          </a:stretch>
                                        </pic:blipFill>
                                        <pic:spPr>
                                          <a:xfrm>
                                            <a:off x="0" y="0"/>
                                            <a:ext cx="1905000" cy="56007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flip:y;margin-left:-6.6pt;margin-top:9.85pt;height:141.2pt;width:443.85pt;rotation:11796480f;z-index:251670528;mso-width-relative:page;mso-height-relative:page;" fillcolor="#FFFFFF [3201]" filled="t" stroked="t" coordsize="21600,21600" o:gfxdata="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mH4GvXAAAACgEAAA8AAAAAAAAA&#10;AQAgAAAAIgAAAGRycy9kb3ducmV2LnhtbFBLAQIUABQAAAAIAIdO4kDcRW/TSwIAAJAEAAAOAAAA&#10;AAAAAAEAIAAAACYBAABkcnMvZTJvRG9jLnhtbFBLBQYAAAAABgAGAFkBAADjBQAAAAA=&#10;">
                <v:fill on="t" focussize="0,0"/>
                <v:stroke weight="0.5pt" color="#000000 [3204]" joinstyle="round"/>
                <v:imagedata o:title=""/>
                <o:lock v:ext="edit" aspectratio="f"/>
                <v:textbox>
                  <w:txbxContent>
                    <w:p>
                      <w:r>
                        <w:rPr>
                          <w:rFonts w:ascii="&amp;quot" w:hAnsi="&amp;quot" w:eastAsia="&amp;quot" w:cs="&amp;quot"/>
                          <w:color w:val="393939"/>
                          <w:lang w:eastAsia="en-CA"/>
                        </w:rPr>
                        <w:drawing>
                          <wp:inline distT="0" distB="0" distL="114300" distR="114300">
                            <wp:extent cx="1303020" cy="765810"/>
                            <wp:effectExtent l="0" t="0" r="7620" b="11430"/>
                            <wp:docPr id="19"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IMG_270"/>
                                    <pic:cNvPicPr>
                                      <a:picLocks noChangeAspect="1"/>
                                    </pic:cNvPicPr>
                                  </pic:nvPicPr>
                                  <pic:blipFill>
                                    <a:blip r:embed="rId19"/>
                                    <a:stretch>
                                      <a:fillRect/>
                                    </a:stretch>
                                  </pic:blipFill>
                                  <pic:spPr>
                                    <a:xfrm>
                                      <a:off x="0" y="0"/>
                                      <a:ext cx="1303020" cy="765810"/>
                                    </a:xfrm>
                                    <a:prstGeom prst="rect">
                                      <a:avLst/>
                                    </a:prstGeom>
                                    <a:noFill/>
                                    <a:ln w="9525">
                                      <a:noFill/>
                                    </a:ln>
                                  </pic:spPr>
                                </pic:pic>
                              </a:graphicData>
                            </a:graphic>
                          </wp:inline>
                        </w:drawing>
                      </w:r>
                      <w:r>
                        <w:rPr>
                          <w:rFonts w:ascii="&amp;quot" w:hAnsi="&amp;quot" w:eastAsia="&amp;quot" w:cs="&amp;quot"/>
                          <w:color w:val="393939"/>
                          <w:lang w:eastAsia="en-CA"/>
                        </w:rPr>
                        <w:drawing>
                          <wp:inline distT="0" distB="0" distL="114300" distR="114300">
                            <wp:extent cx="1905000" cy="685800"/>
                            <wp:effectExtent l="0" t="0" r="0" b="0"/>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20"/>
                                    <a:stretch>
                                      <a:fillRect/>
                                    </a:stretch>
                                  </pic:blipFill>
                                  <pic:spPr>
                                    <a:xfrm>
                                      <a:off x="0" y="0"/>
                                      <a:ext cx="1905000" cy="685800"/>
                                    </a:xfrm>
                                    <a:prstGeom prst="rect">
                                      <a:avLst/>
                                    </a:prstGeom>
                                    <a:noFill/>
                                    <a:ln w="9525">
                                      <a:noFill/>
                                    </a:ln>
                                  </pic:spPr>
                                </pic:pic>
                              </a:graphicData>
                            </a:graphic>
                          </wp:inline>
                        </w:drawing>
                      </w:r>
                      <w:r>
                        <w:rPr>
                          <w:rFonts w:ascii="&amp;quot" w:hAnsi="&amp;quot" w:eastAsia="&amp;quot" w:cs="&amp;quot"/>
                          <w:color w:val="393939"/>
                          <w:lang w:eastAsia="en-CA"/>
                        </w:rPr>
                        <w:drawing>
                          <wp:inline distT="0" distB="0" distL="114300" distR="114300">
                            <wp:extent cx="1905000" cy="695325"/>
                            <wp:effectExtent l="0" t="0" r="0" b="5715"/>
                            <wp:docPr id="21"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IMG_261"/>
                                    <pic:cNvPicPr>
                                      <a:picLocks noChangeAspect="1"/>
                                    </pic:cNvPicPr>
                                  </pic:nvPicPr>
                                  <pic:blipFill>
                                    <a:blip r:embed="rId21"/>
                                    <a:stretch>
                                      <a:fillRect/>
                                    </a:stretch>
                                  </pic:blipFill>
                                  <pic:spPr>
                                    <a:xfrm>
                                      <a:off x="0" y="0"/>
                                      <a:ext cx="1905000" cy="695325"/>
                                    </a:xfrm>
                                    <a:prstGeom prst="rect">
                                      <a:avLst/>
                                    </a:prstGeom>
                                    <a:noFill/>
                                    <a:ln w="9525">
                                      <a:noFill/>
                                    </a:ln>
                                  </pic:spPr>
                                </pic:pic>
                              </a:graphicData>
                            </a:graphic>
                          </wp:inline>
                        </w:drawing>
                      </w:r>
                      <w:r>
                        <w:rPr>
                          <w:rFonts w:ascii="&amp;quot" w:hAnsi="&amp;quot" w:eastAsia="&amp;quot" w:cs="&amp;quot"/>
                          <w:color w:val="393939"/>
                          <w:lang w:eastAsia="en-CA"/>
                        </w:rPr>
                        <w:drawing>
                          <wp:inline distT="0" distB="0" distL="114300" distR="114300">
                            <wp:extent cx="1280160" cy="773430"/>
                            <wp:effectExtent l="0" t="0" r="0" b="3810"/>
                            <wp:docPr id="2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8"/>
                                    <pic:cNvPicPr>
                                      <a:picLocks noChangeAspect="1"/>
                                    </pic:cNvPicPr>
                                  </pic:nvPicPr>
                                  <pic:blipFill>
                                    <a:blip r:embed="rId22"/>
                                    <a:srcRect t="27294" b="24941"/>
                                    <a:stretch>
                                      <a:fillRect/>
                                    </a:stretch>
                                  </pic:blipFill>
                                  <pic:spPr>
                                    <a:xfrm>
                                      <a:off x="0" y="0"/>
                                      <a:ext cx="1280160" cy="773430"/>
                                    </a:xfrm>
                                    <a:prstGeom prst="rect">
                                      <a:avLst/>
                                    </a:prstGeom>
                                    <a:noFill/>
                                    <a:ln w="9525">
                                      <a:noFill/>
                                    </a:ln>
                                  </pic:spPr>
                                </pic:pic>
                              </a:graphicData>
                            </a:graphic>
                          </wp:inline>
                        </w:drawing>
                      </w:r>
                      <w:r>
                        <w:rPr>
                          <w:rFonts w:ascii="&amp;quot" w:hAnsi="&amp;quot" w:eastAsia="&amp;quot" w:cs="&amp;quot"/>
                          <w:color w:val="393939"/>
                          <w:lang w:eastAsia="en-CA"/>
                        </w:rPr>
                        <w:drawing>
                          <wp:inline distT="0" distB="0" distL="114300" distR="114300">
                            <wp:extent cx="1914525" cy="558165"/>
                            <wp:effectExtent l="0" t="0" r="5715" b="5715"/>
                            <wp:docPr id="23"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IMG_263"/>
                                    <pic:cNvPicPr>
                                      <a:picLocks noChangeAspect="1"/>
                                    </pic:cNvPicPr>
                                  </pic:nvPicPr>
                                  <pic:blipFill>
                                    <a:blip r:embed="rId23"/>
                                    <a:stretch>
                                      <a:fillRect/>
                                    </a:stretch>
                                  </pic:blipFill>
                                  <pic:spPr>
                                    <a:xfrm>
                                      <a:off x="0" y="0"/>
                                      <a:ext cx="1914525" cy="558165"/>
                                    </a:xfrm>
                                    <a:prstGeom prst="rect">
                                      <a:avLst/>
                                    </a:prstGeom>
                                    <a:noFill/>
                                    <a:ln w="9525">
                                      <a:noFill/>
                                    </a:ln>
                                  </pic:spPr>
                                </pic:pic>
                              </a:graphicData>
                            </a:graphic>
                          </wp:inline>
                        </w:drawing>
                      </w:r>
                      <w:r>
                        <w:rPr>
                          <w:rFonts w:ascii="&amp;quot" w:hAnsi="&amp;quot" w:eastAsia="&amp;quot" w:cs="&amp;quot"/>
                          <w:color w:val="393939"/>
                          <w:lang w:eastAsia="en-CA"/>
                        </w:rPr>
                        <w:drawing>
                          <wp:inline distT="0" distB="0" distL="114300" distR="114300">
                            <wp:extent cx="1905000" cy="560070"/>
                            <wp:effectExtent l="0" t="0" r="0" b="3810"/>
                            <wp:docPr id="24" name="Picture 24"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71"/>
                                    <pic:cNvPicPr>
                                      <a:picLocks noChangeAspect="1"/>
                                    </pic:cNvPicPr>
                                  </pic:nvPicPr>
                                  <pic:blipFill>
                                    <a:blip r:embed="rId24"/>
                                    <a:stretch>
                                      <a:fillRect/>
                                    </a:stretch>
                                  </pic:blipFill>
                                  <pic:spPr>
                                    <a:xfrm>
                                      <a:off x="0" y="0"/>
                                      <a:ext cx="1905000" cy="560070"/>
                                    </a:xfrm>
                                    <a:prstGeom prst="rect">
                                      <a:avLst/>
                                    </a:prstGeom>
                                    <a:noFill/>
                                    <a:ln w="9525">
                                      <a:noFill/>
                                    </a:ln>
                                  </pic:spPr>
                                </pic:pic>
                              </a:graphicData>
                            </a:graphic>
                          </wp:inline>
                        </w:drawing>
                      </w:r>
                    </w:p>
                  </w:txbxContent>
                </v:textbox>
              </v:shape>
            </w:pict>
          </mc:Fallback>
        </mc:AlternateContent>
      </w:r>
    </w:p>
    <w:p>
      <w:pPr>
        <w:pStyle w:val="5"/>
        <w:spacing w:after="210" w:line="279" w:lineRule="atLeast"/>
        <w:rPr>
          <w:caps/>
          <w:color w:val="D9D9D9"/>
          <w:sz w:val="23"/>
          <w:szCs w:val="23"/>
        </w:rPr>
      </w:pPr>
    </w:p>
    <w:p>
      <w:pPr>
        <w:spacing w:after="0"/>
        <w:ind w:left="-360" w:right="600"/>
        <w:jc w:val="center"/>
        <w:textAlignment w:val="center"/>
      </w:pPr>
    </w:p>
    <w:p>
      <w:pPr>
        <w:spacing w:after="0"/>
        <w:ind w:left="-360" w:right="600"/>
        <w:jc w:val="center"/>
        <w:textAlignment w:val="center"/>
      </w:pPr>
    </w:p>
    <w:p>
      <w:pPr>
        <w:spacing w:after="0"/>
        <w:ind w:left="-360" w:right="600"/>
        <w:jc w:val="center"/>
        <w:textAlignment w:val="center"/>
      </w:pPr>
    </w:p>
    <w:p>
      <w:pPr>
        <w:spacing w:after="0"/>
        <w:ind w:left="-360" w:right="600"/>
        <w:jc w:val="center"/>
        <w:textAlignment w:val="center"/>
      </w:pPr>
    </w:p>
    <w:p>
      <w:pPr>
        <w:spacing w:after="0"/>
        <w:ind w:left="-360" w:right="600"/>
        <w:jc w:val="center"/>
        <w:textAlignment w:val="center"/>
      </w:pPr>
    </w:p>
    <w:p>
      <w:pPr>
        <w:rPr>
          <w:rFonts w:asciiTheme="majorHAnsi" w:hAnsiTheme="majorHAnsi" w:eastAsiaTheme="majorEastAsia" w:cstheme="majorBidi"/>
          <w:color w:val="548235" w:themeColor="accent6" w:themeShade="BF"/>
          <w:sz w:val="28"/>
          <w:szCs w:val="28"/>
        </w:rPr>
      </w:pPr>
      <w:r>
        <w:br w:type="page"/>
      </w:r>
    </w:p>
    <w:p>
      <w:pPr>
        <w:pStyle w:val="3"/>
      </w:pPr>
      <w:bookmarkStart w:id="14" w:name="_Toc3276766"/>
      <w:r>
        <w:t>Franchising the business</w:t>
      </w:r>
      <w:bookmarkEnd w:id="14"/>
    </w:p>
    <w:p>
      <w:pPr>
        <w:spacing w:after="0" w:line="240" w:lineRule="auto"/>
        <w:rPr>
          <w:sz w:val="24"/>
          <w:szCs w:val="24"/>
        </w:rPr>
      </w:pPr>
    </w:p>
    <w:p>
      <w:pPr>
        <w:pStyle w:val="15"/>
      </w:pPr>
      <w:r>
        <w:t xml:space="preserve">Based on the 8 years financial results, the DaVinci’s Pizza is running well. In order to grow the business, we have developed a franchise model which will allow us to have someone else – the franchisee – open their restaurant in another area. As a result, the name, the food and the environment are the same, but the franchisee owns the business and pays a monthly royalty for use of our brand. As per our estimation, it will an easier and less expensive way to expand the pizza business. </w:t>
      </w:r>
    </w:p>
    <w:p>
      <w:pPr>
        <w:pStyle w:val="15"/>
      </w:pPr>
      <w:r>
        <w:t>Considering the risks associated with competitors edging over Da Vinci’s Pizza due to management’s limitations to curtail operational costs, it would be logical for Da Vinci’s Pizza to offer franchise to potential interested parties. This strategy would be similar to offering shares to stakeholders where for a dollar price associates are offered to buy them, and buyers get opportunity to ride on company’s success history.</w:t>
      </w:r>
    </w:p>
    <w:p>
      <w:pPr>
        <w:pStyle w:val="15"/>
      </w:pPr>
      <w:r>
        <w:t>Da Vinci’s Pizza success history of past eight years would offer a baseline to advertise and convince interested business entities to cash on already successful and widely known Pizza chain. Pizza chain franchises will have liberty to run operations with the only exception of yearly audit by parent company to validate similar operations and product quality across franchises. Franchises will pay royalty in return on annual basis.</w:t>
      </w:r>
    </w:p>
    <w:p>
      <w:pPr>
        <w:pStyle w:val="15"/>
      </w:pPr>
      <w:r>
        <w:t xml:space="preserve">Before we are executing the plan, some pros and cons need to be taken consideration: </w:t>
      </w:r>
    </w:p>
    <w:p>
      <w:pPr>
        <w:rPr>
          <w:sz w:val="24"/>
          <w:szCs w:val="24"/>
        </w:rPr>
      </w:pPr>
      <w:r>
        <w:rPr>
          <w:b/>
          <w:sz w:val="24"/>
          <w:szCs w:val="24"/>
        </w:rPr>
        <w:t>Pros</w:t>
      </w:r>
      <w:r>
        <w:rPr>
          <w:sz w:val="24"/>
          <w:szCs w:val="24"/>
        </w:rPr>
        <w:t xml:space="preserve">: </w:t>
      </w:r>
    </w:p>
    <w:p>
      <w:pPr>
        <w:pStyle w:val="26"/>
        <w:numPr>
          <w:ilvl w:val="0"/>
          <w:numId w:val="2"/>
        </w:numPr>
        <w:rPr>
          <w:sz w:val="24"/>
          <w:szCs w:val="24"/>
        </w:rPr>
      </w:pPr>
      <w:r>
        <w:rPr>
          <w:sz w:val="24"/>
          <w:szCs w:val="24"/>
        </w:rPr>
        <w:t>With Franchisees, multiple pizza stores won’t need us to manage the day-to-day operations</w:t>
      </w:r>
    </w:p>
    <w:p>
      <w:pPr>
        <w:pStyle w:val="26"/>
        <w:numPr>
          <w:ilvl w:val="0"/>
          <w:numId w:val="2"/>
        </w:numPr>
        <w:rPr>
          <w:sz w:val="24"/>
          <w:szCs w:val="24"/>
        </w:rPr>
      </w:pPr>
      <w:r>
        <w:rPr>
          <w:sz w:val="24"/>
          <w:szCs w:val="24"/>
        </w:rPr>
        <w:t>The franchisee takes on the bulk of the financial commitment.</w:t>
      </w:r>
    </w:p>
    <w:p>
      <w:pPr>
        <w:pStyle w:val="26"/>
        <w:numPr>
          <w:ilvl w:val="0"/>
          <w:numId w:val="2"/>
        </w:numPr>
        <w:rPr>
          <w:sz w:val="24"/>
          <w:szCs w:val="24"/>
        </w:rPr>
      </w:pPr>
      <w:r>
        <w:rPr>
          <w:sz w:val="24"/>
          <w:szCs w:val="24"/>
        </w:rPr>
        <w:t>Less risk, as franchisees take on liability for what happens in their restaurants.</w:t>
      </w:r>
    </w:p>
    <w:p>
      <w:pPr>
        <w:pStyle w:val="26"/>
        <w:numPr>
          <w:ilvl w:val="0"/>
          <w:numId w:val="2"/>
        </w:numPr>
        <w:rPr>
          <w:sz w:val="24"/>
          <w:szCs w:val="24"/>
        </w:rPr>
      </w:pPr>
      <w:r>
        <w:rPr>
          <w:sz w:val="24"/>
          <w:szCs w:val="24"/>
        </w:rPr>
        <w:t>Increase the brand recognition with more locations.</w:t>
      </w:r>
    </w:p>
    <w:p>
      <w:pPr>
        <w:rPr>
          <w:sz w:val="24"/>
          <w:szCs w:val="24"/>
        </w:rPr>
      </w:pPr>
      <w:r>
        <w:rPr>
          <w:b/>
          <w:sz w:val="24"/>
          <w:szCs w:val="24"/>
        </w:rPr>
        <w:t>Cons</w:t>
      </w:r>
      <w:r>
        <w:rPr>
          <w:sz w:val="24"/>
          <w:szCs w:val="24"/>
        </w:rPr>
        <w:t xml:space="preserve">: </w:t>
      </w:r>
    </w:p>
    <w:p>
      <w:pPr>
        <w:pStyle w:val="26"/>
        <w:numPr>
          <w:ilvl w:val="0"/>
          <w:numId w:val="2"/>
        </w:numPr>
        <w:rPr>
          <w:sz w:val="24"/>
          <w:szCs w:val="24"/>
        </w:rPr>
      </w:pPr>
      <w:r>
        <w:rPr>
          <w:sz w:val="24"/>
          <w:szCs w:val="24"/>
        </w:rPr>
        <w:t>Less control.</w:t>
      </w:r>
    </w:p>
    <w:p>
      <w:pPr>
        <w:pStyle w:val="26"/>
        <w:numPr>
          <w:ilvl w:val="0"/>
          <w:numId w:val="2"/>
        </w:numPr>
        <w:rPr>
          <w:sz w:val="24"/>
          <w:szCs w:val="24"/>
        </w:rPr>
      </w:pPr>
      <w:r>
        <w:rPr>
          <w:sz w:val="24"/>
          <w:szCs w:val="24"/>
        </w:rPr>
        <w:t>Initial expense might run upward of $100,000.</w:t>
      </w:r>
    </w:p>
    <w:p>
      <w:pPr>
        <w:pStyle w:val="26"/>
        <w:numPr>
          <w:ilvl w:val="0"/>
          <w:numId w:val="2"/>
        </w:numPr>
        <w:rPr>
          <w:sz w:val="24"/>
          <w:szCs w:val="24"/>
        </w:rPr>
      </w:pPr>
      <w:r>
        <w:rPr>
          <w:sz w:val="24"/>
          <w:szCs w:val="24"/>
        </w:rPr>
        <w:t>More marketing responsibilities:  increase in reach and marketing to get franchisees.</w:t>
      </w:r>
    </w:p>
    <w:p>
      <w:pPr>
        <w:rPr>
          <w:sz w:val="24"/>
          <w:szCs w:val="24"/>
        </w:rPr>
      </w:pPr>
    </w:p>
    <w:p>
      <w:pPr>
        <w:rPr>
          <w:sz w:val="24"/>
          <w:szCs w:val="24"/>
        </w:rPr>
      </w:pPr>
      <w:r>
        <w:rPr>
          <w:sz w:val="24"/>
          <w:szCs w:val="24"/>
        </w:rPr>
        <w:br w:type="page"/>
      </w:r>
    </w:p>
    <w:p>
      <w:pPr>
        <w:rPr>
          <w:rFonts w:eastAsia="Times New Roman"/>
          <w:b/>
        </w:rPr>
      </w:pPr>
      <w:r>
        <w:rPr>
          <w:rFonts w:eastAsia="Times New Roman"/>
          <w:b/>
        </w:rPr>
        <w:t xml:space="preserve">Investment Tables for potential franchisees: </w:t>
      </w:r>
    </w:p>
    <w:p>
      <w:pPr>
        <w:spacing w:after="0" w:line="240" w:lineRule="auto"/>
        <w:rPr>
          <w:rFonts w:ascii="Times New Roman" w:hAnsi="Times New Roman" w:eastAsia="Times New Roman" w:cs="Times New Roman"/>
          <w:sz w:val="20"/>
          <w:szCs w:val="24"/>
        </w:rPr>
      </w:pPr>
    </w:p>
    <w:tbl>
      <w:tblPr>
        <w:tblStyle w:val="25"/>
        <w:tblW w:w="9485" w:type="dxa"/>
        <w:tblInd w:w="0" w:type="dxa"/>
        <w:tblLayout w:type="fixed"/>
        <w:tblCellMar>
          <w:top w:w="15" w:type="dxa"/>
          <w:left w:w="15" w:type="dxa"/>
          <w:bottom w:w="15" w:type="dxa"/>
          <w:right w:w="15" w:type="dxa"/>
        </w:tblCellMar>
      </w:tblPr>
      <w:tblGrid>
        <w:gridCol w:w="3296"/>
        <w:gridCol w:w="1043"/>
        <w:gridCol w:w="5146"/>
      </w:tblGrid>
      <w:tr>
        <w:tblPrEx>
          <w:tblLayout w:type="fixed"/>
          <w:tblCellMar>
            <w:top w:w="15" w:type="dxa"/>
            <w:left w:w="15" w:type="dxa"/>
            <w:bottom w:w="15" w:type="dxa"/>
            <w:right w:w="15" w:type="dxa"/>
          </w:tblCellMar>
        </w:tblPrEx>
        <w:trPr>
          <w:trHeight w:val="300" w:hRule="atLeast"/>
        </w:trPr>
        <w:tc>
          <w:tcPr>
            <w:tcW w:w="3296" w:type="dxa"/>
            <w:tcBorders>
              <w:top w:val="single" w:color="D9D8D7" w:sz="6" w:space="0"/>
              <w:left w:val="single" w:color="D9D8D7" w:sz="6" w:space="0"/>
              <w:bottom w:val="single" w:color="D9D8D7" w:sz="6" w:space="0"/>
              <w:right w:val="single" w:color="D9D8D7" w:sz="6" w:space="0"/>
            </w:tcBorders>
            <w:shd w:val="clear" w:color="auto" w:fill="D9D8D7"/>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Name of Fee</w:t>
            </w:r>
          </w:p>
        </w:tc>
        <w:tc>
          <w:tcPr>
            <w:tcW w:w="1043" w:type="dxa"/>
            <w:tcBorders>
              <w:top w:val="single" w:color="D9D8D7" w:sz="6" w:space="0"/>
              <w:left w:val="single" w:color="D9D8D7" w:sz="6" w:space="0"/>
              <w:bottom w:val="single" w:color="D9D8D7" w:sz="6" w:space="0"/>
              <w:right w:val="single" w:color="D9D8D7" w:sz="6" w:space="0"/>
            </w:tcBorders>
            <w:shd w:val="clear" w:color="auto" w:fill="D9D8D7"/>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Low</w:t>
            </w:r>
          </w:p>
        </w:tc>
        <w:tc>
          <w:tcPr>
            <w:tcW w:w="5146" w:type="dxa"/>
            <w:tcBorders>
              <w:top w:val="single" w:color="D9D8D7" w:sz="6" w:space="0"/>
              <w:left w:val="single" w:color="D9D8D7" w:sz="6" w:space="0"/>
              <w:bottom w:val="single" w:color="D9D8D7" w:sz="6" w:space="0"/>
              <w:right w:val="single" w:color="D9D8D7" w:sz="6" w:space="0"/>
            </w:tcBorders>
            <w:shd w:val="clear" w:color="auto" w:fill="D9D8D7"/>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High</w:t>
            </w:r>
          </w:p>
        </w:tc>
      </w:tr>
      <w:tr>
        <w:tblPrEx>
          <w:tblLayout w:type="fixed"/>
          <w:tblCellMar>
            <w:top w:w="15" w:type="dxa"/>
            <w:left w:w="15" w:type="dxa"/>
            <w:bottom w:w="15" w:type="dxa"/>
            <w:right w:w="15" w:type="dxa"/>
          </w:tblCellMar>
        </w:tblPrEx>
        <w:trPr>
          <w:trHeight w:val="300" w:hRule="atLeast"/>
        </w:trPr>
        <w:tc>
          <w:tcPr>
            <w:tcW w:w="3296"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rPr>
                <w:rFonts w:ascii="Times New Roman" w:hAnsi="Times New Roman" w:eastAsia="Times New Roman" w:cs="Times New Roman"/>
                <w:sz w:val="20"/>
                <w:szCs w:val="24"/>
              </w:rPr>
            </w:pPr>
            <w:r>
              <w:rPr>
                <w:rFonts w:ascii="Arial" w:hAnsi="Arial" w:eastAsia="Times New Roman" w:cs="Arial"/>
                <w:b/>
                <w:bCs/>
                <w:sz w:val="20"/>
                <w:szCs w:val="24"/>
              </w:rPr>
              <w:t>Initial Fee</w:t>
            </w:r>
          </w:p>
        </w:tc>
        <w:tc>
          <w:tcPr>
            <w:tcW w:w="1043"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$0</w:t>
            </w:r>
          </w:p>
        </w:tc>
        <w:tc>
          <w:tcPr>
            <w:tcW w:w="5146"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$10,000</w:t>
            </w:r>
          </w:p>
        </w:tc>
      </w:tr>
      <w:tr>
        <w:tblPrEx>
          <w:tblLayout w:type="fixed"/>
          <w:tblCellMar>
            <w:top w:w="15" w:type="dxa"/>
            <w:left w:w="15" w:type="dxa"/>
            <w:bottom w:w="15" w:type="dxa"/>
            <w:right w:w="15" w:type="dxa"/>
          </w:tblCellMar>
        </w:tblPrEx>
        <w:trPr>
          <w:trHeight w:val="300" w:hRule="atLeast"/>
        </w:trPr>
        <w:tc>
          <w:tcPr>
            <w:tcW w:w="3296"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rPr>
                <w:rFonts w:ascii="Times New Roman" w:hAnsi="Times New Roman" w:eastAsia="Times New Roman" w:cs="Times New Roman"/>
                <w:sz w:val="20"/>
                <w:szCs w:val="24"/>
              </w:rPr>
            </w:pPr>
            <w:r>
              <w:rPr>
                <w:rFonts w:ascii="Arial" w:hAnsi="Arial" w:eastAsia="Times New Roman" w:cs="Arial"/>
                <w:b/>
                <w:bCs/>
                <w:sz w:val="20"/>
                <w:szCs w:val="24"/>
              </w:rPr>
              <w:t>Leasehold Improvements</w:t>
            </w:r>
          </w:p>
        </w:tc>
        <w:tc>
          <w:tcPr>
            <w:tcW w:w="1043"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$5,000</w:t>
            </w:r>
          </w:p>
        </w:tc>
        <w:tc>
          <w:tcPr>
            <w:tcW w:w="5146"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$225,000</w:t>
            </w:r>
          </w:p>
        </w:tc>
      </w:tr>
      <w:tr>
        <w:tblPrEx>
          <w:tblLayout w:type="fixed"/>
          <w:tblCellMar>
            <w:top w:w="15" w:type="dxa"/>
            <w:left w:w="15" w:type="dxa"/>
            <w:bottom w:w="15" w:type="dxa"/>
            <w:right w:w="15" w:type="dxa"/>
          </w:tblCellMar>
        </w:tblPrEx>
        <w:trPr>
          <w:trHeight w:val="300" w:hRule="atLeast"/>
        </w:trPr>
        <w:tc>
          <w:tcPr>
            <w:tcW w:w="3296"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rPr>
                <w:rFonts w:ascii="Times New Roman" w:hAnsi="Times New Roman" w:eastAsia="Times New Roman" w:cs="Times New Roman"/>
                <w:sz w:val="20"/>
                <w:szCs w:val="24"/>
              </w:rPr>
            </w:pPr>
            <w:r>
              <w:rPr>
                <w:rFonts w:ascii="Arial" w:hAnsi="Arial" w:eastAsia="Times New Roman" w:cs="Arial"/>
                <w:b/>
                <w:bCs/>
                <w:sz w:val="20"/>
                <w:szCs w:val="24"/>
              </w:rPr>
              <w:t>Furniture, Fixtures and Equipment</w:t>
            </w:r>
          </w:p>
        </w:tc>
        <w:tc>
          <w:tcPr>
            <w:tcW w:w="1043"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$62,000</w:t>
            </w:r>
          </w:p>
        </w:tc>
        <w:tc>
          <w:tcPr>
            <w:tcW w:w="5146"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$145,000</w:t>
            </w:r>
          </w:p>
        </w:tc>
      </w:tr>
      <w:tr>
        <w:tblPrEx>
          <w:tblLayout w:type="fixed"/>
          <w:tblCellMar>
            <w:top w:w="15" w:type="dxa"/>
            <w:left w:w="15" w:type="dxa"/>
            <w:bottom w:w="15" w:type="dxa"/>
            <w:right w:w="15" w:type="dxa"/>
          </w:tblCellMar>
        </w:tblPrEx>
        <w:trPr>
          <w:trHeight w:val="300" w:hRule="atLeast"/>
        </w:trPr>
        <w:tc>
          <w:tcPr>
            <w:tcW w:w="3296"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rPr>
                <w:rFonts w:ascii="Times New Roman" w:hAnsi="Times New Roman" w:eastAsia="Times New Roman" w:cs="Times New Roman"/>
                <w:sz w:val="20"/>
                <w:szCs w:val="24"/>
              </w:rPr>
            </w:pPr>
            <w:r>
              <w:rPr>
                <w:rFonts w:ascii="Arial" w:hAnsi="Arial" w:eastAsia="Times New Roman" w:cs="Arial"/>
                <w:b/>
                <w:bCs/>
                <w:sz w:val="20"/>
                <w:szCs w:val="24"/>
              </w:rPr>
              <w:t>Security Deposit</w:t>
            </w:r>
          </w:p>
        </w:tc>
        <w:tc>
          <w:tcPr>
            <w:tcW w:w="1043"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$1,000</w:t>
            </w:r>
          </w:p>
        </w:tc>
        <w:tc>
          <w:tcPr>
            <w:tcW w:w="5146"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$10,000</w:t>
            </w:r>
          </w:p>
        </w:tc>
      </w:tr>
      <w:tr>
        <w:tblPrEx>
          <w:tblLayout w:type="fixed"/>
          <w:tblCellMar>
            <w:top w:w="15" w:type="dxa"/>
            <w:left w:w="15" w:type="dxa"/>
            <w:bottom w:w="15" w:type="dxa"/>
            <w:right w:w="15" w:type="dxa"/>
          </w:tblCellMar>
        </w:tblPrEx>
        <w:trPr>
          <w:trHeight w:val="300" w:hRule="atLeast"/>
        </w:trPr>
        <w:tc>
          <w:tcPr>
            <w:tcW w:w="3296"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rPr>
                <w:rFonts w:ascii="Times New Roman" w:hAnsi="Times New Roman" w:eastAsia="Times New Roman" w:cs="Times New Roman"/>
                <w:sz w:val="20"/>
                <w:szCs w:val="24"/>
              </w:rPr>
            </w:pPr>
            <w:r>
              <w:rPr>
                <w:rFonts w:ascii="Arial" w:hAnsi="Arial" w:eastAsia="Times New Roman" w:cs="Arial"/>
                <w:b/>
                <w:bCs/>
                <w:sz w:val="20"/>
                <w:szCs w:val="24"/>
              </w:rPr>
              <w:t>Opening Inventory and Supplies</w:t>
            </w:r>
          </w:p>
        </w:tc>
        <w:tc>
          <w:tcPr>
            <w:tcW w:w="1043"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$2,750</w:t>
            </w:r>
          </w:p>
        </w:tc>
        <w:tc>
          <w:tcPr>
            <w:tcW w:w="5146"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$6,500</w:t>
            </w:r>
          </w:p>
        </w:tc>
      </w:tr>
      <w:tr>
        <w:tblPrEx>
          <w:tblLayout w:type="fixed"/>
          <w:tblCellMar>
            <w:top w:w="15" w:type="dxa"/>
            <w:left w:w="15" w:type="dxa"/>
            <w:bottom w:w="15" w:type="dxa"/>
            <w:right w:w="15" w:type="dxa"/>
          </w:tblCellMar>
        </w:tblPrEx>
        <w:trPr>
          <w:trHeight w:val="300" w:hRule="atLeast"/>
        </w:trPr>
        <w:tc>
          <w:tcPr>
            <w:tcW w:w="3296"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rPr>
                <w:rFonts w:ascii="Times New Roman" w:hAnsi="Times New Roman" w:eastAsia="Times New Roman" w:cs="Times New Roman"/>
                <w:sz w:val="20"/>
                <w:szCs w:val="24"/>
              </w:rPr>
            </w:pPr>
            <w:r>
              <w:rPr>
                <w:rFonts w:ascii="Arial" w:hAnsi="Arial" w:eastAsia="Times New Roman" w:cs="Arial"/>
                <w:b/>
                <w:bCs/>
                <w:sz w:val="20"/>
                <w:szCs w:val="24"/>
              </w:rPr>
              <w:t>Opening Advertising and Promotion</w:t>
            </w:r>
          </w:p>
        </w:tc>
        <w:tc>
          <w:tcPr>
            <w:tcW w:w="1043"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$0</w:t>
            </w:r>
          </w:p>
        </w:tc>
        <w:tc>
          <w:tcPr>
            <w:tcW w:w="5146"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$3,000</w:t>
            </w:r>
          </w:p>
        </w:tc>
      </w:tr>
      <w:tr>
        <w:tblPrEx>
          <w:tblLayout w:type="fixed"/>
          <w:tblCellMar>
            <w:top w:w="15" w:type="dxa"/>
            <w:left w:w="15" w:type="dxa"/>
            <w:bottom w:w="15" w:type="dxa"/>
            <w:right w:w="15" w:type="dxa"/>
          </w:tblCellMar>
        </w:tblPrEx>
        <w:trPr>
          <w:trHeight w:val="300" w:hRule="atLeast"/>
        </w:trPr>
        <w:tc>
          <w:tcPr>
            <w:tcW w:w="3296"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rPr>
                <w:rFonts w:ascii="Times New Roman" w:hAnsi="Times New Roman" w:eastAsia="Times New Roman" w:cs="Times New Roman"/>
                <w:sz w:val="20"/>
                <w:szCs w:val="24"/>
              </w:rPr>
            </w:pPr>
            <w:r>
              <w:rPr>
                <w:rFonts w:ascii="Arial" w:hAnsi="Arial" w:eastAsia="Times New Roman" w:cs="Arial"/>
                <w:b/>
                <w:bCs/>
                <w:sz w:val="20"/>
                <w:szCs w:val="24"/>
              </w:rPr>
              <w:t>Training Expenses</w:t>
            </w:r>
          </w:p>
        </w:tc>
        <w:tc>
          <w:tcPr>
            <w:tcW w:w="1043"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$1,000</w:t>
            </w:r>
          </w:p>
        </w:tc>
        <w:tc>
          <w:tcPr>
            <w:tcW w:w="5146"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$3,000</w:t>
            </w:r>
          </w:p>
        </w:tc>
      </w:tr>
      <w:tr>
        <w:tblPrEx>
          <w:tblLayout w:type="fixed"/>
          <w:tblCellMar>
            <w:top w:w="15" w:type="dxa"/>
            <w:left w:w="15" w:type="dxa"/>
            <w:bottom w:w="15" w:type="dxa"/>
            <w:right w:w="15" w:type="dxa"/>
          </w:tblCellMar>
        </w:tblPrEx>
        <w:trPr>
          <w:trHeight w:val="300" w:hRule="atLeast"/>
        </w:trPr>
        <w:tc>
          <w:tcPr>
            <w:tcW w:w="3296"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rPr>
                <w:rFonts w:ascii="Times New Roman" w:hAnsi="Times New Roman" w:eastAsia="Times New Roman" w:cs="Times New Roman"/>
                <w:sz w:val="20"/>
                <w:szCs w:val="24"/>
              </w:rPr>
            </w:pPr>
            <w:r>
              <w:rPr>
                <w:rFonts w:ascii="Arial" w:hAnsi="Arial" w:eastAsia="Times New Roman" w:cs="Arial"/>
                <w:b/>
                <w:bCs/>
                <w:sz w:val="20"/>
                <w:szCs w:val="24"/>
              </w:rPr>
              <w:t>Domino's PULSE Training Expenses</w:t>
            </w:r>
          </w:p>
        </w:tc>
        <w:tc>
          <w:tcPr>
            <w:tcW w:w="1043"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$1,500</w:t>
            </w:r>
          </w:p>
        </w:tc>
        <w:tc>
          <w:tcPr>
            <w:tcW w:w="5146"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$1,500</w:t>
            </w:r>
          </w:p>
        </w:tc>
      </w:tr>
      <w:tr>
        <w:tblPrEx>
          <w:tblLayout w:type="fixed"/>
          <w:tblCellMar>
            <w:top w:w="15" w:type="dxa"/>
            <w:left w:w="15" w:type="dxa"/>
            <w:bottom w:w="15" w:type="dxa"/>
            <w:right w:w="15" w:type="dxa"/>
          </w:tblCellMar>
        </w:tblPrEx>
        <w:trPr>
          <w:trHeight w:val="300" w:hRule="atLeast"/>
        </w:trPr>
        <w:tc>
          <w:tcPr>
            <w:tcW w:w="3296"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rPr>
                <w:rFonts w:ascii="Times New Roman" w:hAnsi="Times New Roman" w:eastAsia="Times New Roman" w:cs="Times New Roman"/>
                <w:sz w:val="20"/>
                <w:szCs w:val="24"/>
              </w:rPr>
            </w:pPr>
            <w:r>
              <w:rPr>
                <w:rFonts w:ascii="Arial" w:hAnsi="Arial" w:eastAsia="Times New Roman" w:cs="Arial"/>
                <w:b/>
                <w:bCs/>
                <w:sz w:val="20"/>
                <w:szCs w:val="24"/>
              </w:rPr>
              <w:t>Insurance</w:t>
            </w:r>
          </w:p>
        </w:tc>
        <w:tc>
          <w:tcPr>
            <w:tcW w:w="1043"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$6,000</w:t>
            </w:r>
          </w:p>
        </w:tc>
        <w:tc>
          <w:tcPr>
            <w:tcW w:w="5146"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$17,000</w:t>
            </w:r>
          </w:p>
        </w:tc>
      </w:tr>
      <w:tr>
        <w:tblPrEx>
          <w:tblLayout w:type="fixed"/>
          <w:tblCellMar>
            <w:top w:w="15" w:type="dxa"/>
            <w:left w:w="15" w:type="dxa"/>
            <w:bottom w:w="15" w:type="dxa"/>
            <w:right w:w="15" w:type="dxa"/>
          </w:tblCellMar>
        </w:tblPrEx>
        <w:trPr>
          <w:trHeight w:val="300" w:hRule="atLeast"/>
        </w:trPr>
        <w:tc>
          <w:tcPr>
            <w:tcW w:w="3296"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rPr>
                <w:rFonts w:ascii="Times New Roman" w:hAnsi="Times New Roman" w:eastAsia="Times New Roman" w:cs="Times New Roman"/>
                <w:sz w:val="20"/>
                <w:szCs w:val="24"/>
              </w:rPr>
            </w:pPr>
            <w:r>
              <w:rPr>
                <w:rFonts w:ascii="Arial" w:hAnsi="Arial" w:eastAsia="Times New Roman" w:cs="Arial"/>
                <w:b/>
                <w:bCs/>
                <w:sz w:val="20"/>
                <w:szCs w:val="24"/>
              </w:rPr>
              <w:t>Miscellaneous Opening Costs</w:t>
            </w:r>
          </w:p>
        </w:tc>
        <w:tc>
          <w:tcPr>
            <w:tcW w:w="1043"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$2,500</w:t>
            </w:r>
          </w:p>
        </w:tc>
        <w:tc>
          <w:tcPr>
            <w:tcW w:w="5146"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$7,000</w:t>
            </w:r>
          </w:p>
        </w:tc>
      </w:tr>
      <w:tr>
        <w:tblPrEx>
          <w:tblLayout w:type="fixed"/>
          <w:tblCellMar>
            <w:top w:w="15" w:type="dxa"/>
            <w:left w:w="15" w:type="dxa"/>
            <w:bottom w:w="15" w:type="dxa"/>
            <w:right w:w="15" w:type="dxa"/>
          </w:tblCellMar>
        </w:tblPrEx>
        <w:trPr>
          <w:trHeight w:val="300" w:hRule="atLeast"/>
        </w:trPr>
        <w:tc>
          <w:tcPr>
            <w:tcW w:w="3296"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rPr>
                <w:rFonts w:ascii="Times New Roman" w:hAnsi="Times New Roman" w:eastAsia="Times New Roman" w:cs="Times New Roman"/>
                <w:sz w:val="20"/>
                <w:szCs w:val="24"/>
              </w:rPr>
            </w:pPr>
            <w:r>
              <w:rPr>
                <w:rFonts w:ascii="Arial" w:hAnsi="Arial" w:eastAsia="Times New Roman" w:cs="Arial"/>
                <w:b/>
                <w:bCs/>
                <w:sz w:val="20"/>
                <w:szCs w:val="24"/>
              </w:rPr>
              <w:t>Additional Funds - 3 Months</w:t>
            </w:r>
          </w:p>
        </w:tc>
        <w:tc>
          <w:tcPr>
            <w:tcW w:w="1043"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$10,000</w:t>
            </w:r>
          </w:p>
        </w:tc>
        <w:tc>
          <w:tcPr>
            <w:tcW w:w="5146" w:type="dxa"/>
            <w:tcBorders>
              <w:top w:val="single" w:color="D9D8D7" w:sz="6" w:space="0"/>
              <w:left w:val="single" w:color="D9D8D7" w:sz="6" w:space="0"/>
              <w:bottom w:val="single" w:color="D9D8D7" w:sz="6" w:space="0"/>
              <w:right w:val="single" w:color="D9D8D7" w:sz="6" w:space="0"/>
            </w:tcBorders>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$73,000</w:t>
            </w:r>
          </w:p>
        </w:tc>
      </w:tr>
      <w:tr>
        <w:tblPrEx>
          <w:tblLayout w:type="fixed"/>
          <w:tblCellMar>
            <w:top w:w="15" w:type="dxa"/>
            <w:left w:w="15" w:type="dxa"/>
            <w:bottom w:w="15" w:type="dxa"/>
            <w:right w:w="15" w:type="dxa"/>
          </w:tblCellMar>
        </w:tblPrEx>
        <w:trPr>
          <w:trHeight w:val="300" w:hRule="atLeast"/>
        </w:trPr>
        <w:tc>
          <w:tcPr>
            <w:tcW w:w="3296"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rPr>
                <w:rFonts w:ascii="Times New Roman" w:hAnsi="Times New Roman" w:eastAsia="Times New Roman" w:cs="Times New Roman"/>
                <w:sz w:val="20"/>
                <w:szCs w:val="24"/>
              </w:rPr>
            </w:pPr>
            <w:r>
              <w:rPr>
                <w:rFonts w:ascii="Arial" w:hAnsi="Arial" w:eastAsia="Times New Roman" w:cs="Arial"/>
                <w:b/>
                <w:bCs/>
                <w:sz w:val="20"/>
                <w:szCs w:val="24"/>
              </w:rPr>
              <w:t>TOTAL ESTIMATED INITIAL INVESTMENT</w:t>
            </w:r>
          </w:p>
        </w:tc>
        <w:tc>
          <w:tcPr>
            <w:tcW w:w="1043"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$99,950</w:t>
            </w:r>
          </w:p>
        </w:tc>
        <w:tc>
          <w:tcPr>
            <w:tcW w:w="5146" w:type="dxa"/>
            <w:tcBorders>
              <w:top w:val="single" w:color="D9D8D7" w:sz="6" w:space="0"/>
              <w:left w:val="single" w:color="D9D8D7" w:sz="6" w:space="0"/>
              <w:bottom w:val="single" w:color="D9D8D7" w:sz="6" w:space="0"/>
              <w:right w:val="single" w:color="D9D8D7" w:sz="6" w:space="0"/>
            </w:tcBorders>
            <w:shd w:val="clear" w:color="auto" w:fill="F7F6F5"/>
            <w:tcMar>
              <w:top w:w="160" w:type="dxa"/>
              <w:left w:w="160" w:type="dxa"/>
              <w:bottom w:w="160" w:type="dxa"/>
              <w:right w:w="160" w:type="dxa"/>
            </w:tcMar>
          </w:tcPr>
          <w:p>
            <w:pPr>
              <w:spacing w:after="0" w:line="240" w:lineRule="auto"/>
              <w:jc w:val="center"/>
              <w:rPr>
                <w:rFonts w:ascii="Times New Roman" w:hAnsi="Times New Roman" w:eastAsia="Times New Roman" w:cs="Times New Roman"/>
                <w:sz w:val="20"/>
                <w:szCs w:val="24"/>
              </w:rPr>
            </w:pPr>
            <w:r>
              <w:rPr>
                <w:rFonts w:ascii="Arial" w:hAnsi="Arial" w:eastAsia="Times New Roman" w:cs="Arial"/>
                <w:b/>
                <w:bCs/>
                <w:sz w:val="20"/>
                <w:szCs w:val="24"/>
              </w:rPr>
              <w:t>$561,000</w:t>
            </w:r>
          </w:p>
        </w:tc>
      </w:tr>
    </w:tbl>
    <w:p>
      <w:pPr>
        <w:spacing w:after="0" w:line="240" w:lineRule="auto"/>
        <w:rPr>
          <w:sz w:val="24"/>
          <w:szCs w:val="24"/>
        </w:rPr>
      </w:pPr>
    </w:p>
    <w:p>
      <w:pPr>
        <w:pStyle w:val="3"/>
      </w:pPr>
      <w:r>
        <w:rPr>
          <w:sz w:val="24"/>
          <w:szCs w:val="24"/>
        </w:rPr>
        <w:br w:type="page"/>
      </w:r>
      <w:bookmarkStart w:id="15" w:name="_Toc3276767"/>
      <w:r>
        <w:t>Identify new locations</w:t>
      </w:r>
      <w:bookmarkEnd w:id="15"/>
    </w:p>
    <w:p>
      <w:pPr>
        <w:spacing w:after="0" w:line="240" w:lineRule="auto"/>
        <w:rPr>
          <w:sz w:val="24"/>
          <w:szCs w:val="24"/>
        </w:rPr>
      </w:pPr>
    </w:p>
    <w:p>
      <w:pPr>
        <w:rPr>
          <w:sz w:val="24"/>
          <w:szCs w:val="24"/>
        </w:rPr>
      </w:pPr>
      <w:r>
        <w:rPr>
          <w:sz w:val="24"/>
          <w:szCs w:val="24"/>
        </w:rPr>
        <w:t xml:space="preserve">We have set up the company with SAS in order to run ad-hoc analysis quickly and easily. Identifying new locations is not something that the company be doing daily or even weekly so we feel that setting up a database is not a good use of resources. </w:t>
      </w:r>
    </w:p>
    <w:p>
      <w:pPr>
        <w:rPr>
          <w:sz w:val="24"/>
          <w:szCs w:val="24"/>
        </w:rPr>
      </w:pPr>
      <w:r>
        <w:rPr>
          <w:sz w:val="24"/>
          <w:szCs w:val="24"/>
        </w:rPr>
        <w:t>SAS allows the company to take various files and data from different sources and combine them to arrive at decisions of this type.</w:t>
      </w:r>
    </w:p>
    <w:p>
      <w:pPr>
        <w:rPr>
          <w:sz w:val="24"/>
          <w:szCs w:val="24"/>
        </w:rPr>
      </w:pPr>
      <w:r>
        <w:rPr>
          <w:sz w:val="24"/>
          <w:szCs w:val="24"/>
        </w:rPr>
        <w:t>In this case we have taken data from the following public sources:</w:t>
      </w:r>
    </w:p>
    <w:p>
      <w:pPr>
        <w:rPr>
          <w:sz w:val="24"/>
          <w:szCs w:val="24"/>
        </w:rPr>
      </w:pPr>
      <w:r>
        <w:rPr>
          <w:sz w:val="24"/>
          <w:szCs w:val="24"/>
        </w:rPr>
        <w:t>-Toronto.ca (neighbourhood profiles, permits database, public works)</w:t>
      </w:r>
      <w:r>
        <w:rPr>
          <w:sz w:val="24"/>
          <w:szCs w:val="24"/>
        </w:rPr>
        <w:br w:type="textWrapping"/>
      </w:r>
      <w:r>
        <w:rPr>
          <w:sz w:val="24"/>
          <w:szCs w:val="24"/>
        </w:rPr>
        <w:t>-Realtor.ca (house/business property prices)</w:t>
      </w:r>
      <w:r>
        <w:rPr>
          <w:sz w:val="24"/>
          <w:szCs w:val="24"/>
        </w:rPr>
        <w:br w:type="textWrapping"/>
      </w:r>
      <w:r>
        <w:rPr>
          <w:sz w:val="24"/>
          <w:szCs w:val="24"/>
        </w:rPr>
        <w:t>-Google Maps (identify locations of competition and like-minded businesses)</w:t>
      </w:r>
      <w:r>
        <w:rPr>
          <w:sz w:val="24"/>
          <w:szCs w:val="24"/>
        </w:rPr>
        <w:br w:type="textWrapping"/>
      </w:r>
      <w:r>
        <w:rPr>
          <w:sz w:val="24"/>
          <w:szCs w:val="24"/>
        </w:rPr>
        <w:t>-Yelp (analyze reviews on competition and client preferences)</w:t>
      </w:r>
    </w:p>
    <w:p>
      <w:pPr>
        <w:rPr>
          <w:sz w:val="24"/>
          <w:szCs w:val="24"/>
        </w:rPr>
      </w:pPr>
      <w:r>
        <w:rPr>
          <w:sz w:val="24"/>
          <w:szCs w:val="24"/>
        </w:rPr>
        <w:t>We also leveraged the following internal data:</w:t>
      </w:r>
    </w:p>
    <w:p>
      <w:pPr>
        <w:rPr>
          <w:sz w:val="24"/>
          <w:szCs w:val="24"/>
        </w:rPr>
      </w:pPr>
      <w:r>
        <w:rPr>
          <w:sz w:val="24"/>
          <w:szCs w:val="24"/>
        </w:rPr>
        <w:t>-Current customer delivery database</w:t>
      </w:r>
      <w:r>
        <w:rPr>
          <w:sz w:val="24"/>
          <w:szCs w:val="24"/>
        </w:rPr>
        <w:br w:type="textWrapping"/>
      </w:r>
      <w:r>
        <w:rPr>
          <w:sz w:val="24"/>
          <w:szCs w:val="24"/>
        </w:rPr>
        <w:t>-Financial information</w:t>
      </w:r>
      <w:r>
        <w:rPr>
          <w:sz w:val="24"/>
          <w:szCs w:val="24"/>
        </w:rPr>
        <w:br w:type="textWrapping"/>
      </w:r>
      <w:r>
        <w:rPr>
          <w:sz w:val="24"/>
          <w:szCs w:val="24"/>
        </w:rPr>
        <w:t>-Community data</w:t>
      </w:r>
    </w:p>
    <w:p>
      <w:pPr>
        <w:rPr>
          <w:sz w:val="24"/>
          <w:szCs w:val="24"/>
        </w:rPr>
      </w:pPr>
      <w:r>
        <w:rPr>
          <w:sz w:val="24"/>
          <w:szCs w:val="24"/>
        </w:rPr>
        <w:t>After careful analysis we have come up with the following 10 primary targets for a new location:</w:t>
      </w:r>
    </w:p>
    <w:p>
      <w:pPr>
        <w:rPr>
          <w:sz w:val="24"/>
          <w:szCs w:val="24"/>
        </w:rPr>
      </w:pPr>
      <w:r>
        <w:rPr>
          <w:sz w:val="24"/>
          <w:szCs w:val="24"/>
          <w:lang w:eastAsia="en-CA"/>
        </w:rPr>
        <w:drawing>
          <wp:inline distT="0" distB="0" distL="0" distR="0">
            <wp:extent cx="4737100" cy="327406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37100" cy="3274470"/>
                    </a:xfrm>
                    <a:prstGeom prst="rect">
                      <a:avLst/>
                    </a:prstGeom>
                    <a:noFill/>
                    <a:ln>
                      <a:noFill/>
                    </a:ln>
                  </pic:spPr>
                </pic:pic>
              </a:graphicData>
            </a:graphic>
          </wp:inline>
        </w:drawing>
      </w:r>
    </w:p>
    <w:p>
      <w:pPr>
        <w:rPr>
          <w:sz w:val="24"/>
          <w:szCs w:val="24"/>
        </w:rPr>
      </w:pPr>
      <w:r>
        <w:rPr>
          <w:sz w:val="24"/>
          <w:szCs w:val="24"/>
        </w:rPr>
        <w:br w:type="page"/>
      </w:r>
    </w:p>
    <w:p>
      <w:pPr>
        <w:pStyle w:val="2"/>
      </w:pPr>
      <w:bookmarkStart w:id="16" w:name="_Toc3276768"/>
      <w:r>
        <w:t>Tactical Workloads</w:t>
      </w:r>
      <w:bookmarkEnd w:id="16"/>
    </w:p>
    <w:p>
      <w:r>
        <w:rPr>
          <w:lang w:eastAsia="en-CA"/>
        </w:rPr>
        <w:drawing>
          <wp:inline distT="0" distB="0" distL="0" distR="0">
            <wp:extent cx="5943600" cy="7702550"/>
            <wp:effectExtent l="19050" t="19050" r="19050" b="1270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26"/>
                    <a:srcRect/>
                    <a:stretch>
                      <a:fillRect/>
                    </a:stretch>
                  </pic:blipFill>
                  <pic:spPr>
                    <a:xfrm>
                      <a:off x="0" y="0"/>
                      <a:ext cx="5943600" cy="7702550"/>
                    </a:xfrm>
                    <a:prstGeom prst="rect">
                      <a:avLst/>
                    </a:prstGeom>
                    <a:solidFill>
                      <a:srgbClr val="FFFFFF"/>
                    </a:solidFill>
                    <a:ln w="9525">
                      <a:solidFill>
                        <a:srgbClr val="000000"/>
                      </a:solidFill>
                      <a:miter lim="800000"/>
                      <a:headEnd/>
                      <a:tailEnd/>
                    </a:ln>
                  </pic:spPr>
                </pic:pic>
              </a:graphicData>
            </a:graphic>
          </wp:inline>
        </w:drawing>
      </w:r>
    </w:p>
    <w:p>
      <w:pPr>
        <w:pStyle w:val="3"/>
        <w:rPr>
          <w:sz w:val="24"/>
          <w:szCs w:val="24"/>
        </w:rPr>
      </w:pPr>
      <w:bookmarkStart w:id="17" w:name="_Toc3276769"/>
      <w:r>
        <w:t>Create a pizza community</w:t>
      </w:r>
      <w:bookmarkEnd w:id="17"/>
    </w:p>
    <w:p>
      <w:pPr>
        <w:rPr>
          <w:sz w:val="24"/>
          <w:szCs w:val="24"/>
        </w:rPr>
      </w:pPr>
      <w:r>
        <w:rPr>
          <w:sz w:val="24"/>
          <w:szCs w:val="24"/>
        </w:rPr>
        <w:t>In order to facilitate customer engagement with the app and therefore the store, the mobile app will have a “Community” section.</w:t>
      </w:r>
    </w:p>
    <w:p>
      <w:pPr>
        <w:rPr>
          <w:sz w:val="24"/>
          <w:szCs w:val="24"/>
        </w:rPr>
      </w:pPr>
      <w:r>
        <w:rPr>
          <w:sz w:val="24"/>
          <w:szCs w:val="24"/>
        </w:rPr>
        <w:t xml:space="preserve">Through this feature customers are able to share their thoughts and ideas on how to balance their love of pizza with their healthy lifestyle. </w:t>
      </w:r>
    </w:p>
    <w:p>
      <w:pPr>
        <w:rPr>
          <w:sz w:val="24"/>
          <w:szCs w:val="24"/>
        </w:rPr>
      </w:pPr>
      <w:r>
        <w:rPr>
          <w:sz w:val="24"/>
          <w:szCs w:val="24"/>
        </w:rPr>
        <w:t>The app allows the customer to import and invite contacts from other social media apps, create private and public groups to interact with one another and with the company.</w:t>
      </w:r>
    </w:p>
    <w:p>
      <w:pPr>
        <w:rPr>
          <w:sz w:val="24"/>
          <w:szCs w:val="24"/>
        </w:rPr>
      </w:pPr>
      <w:r>
        <w:rPr>
          <w:sz w:val="24"/>
          <w:szCs w:val="24"/>
        </w:rPr>
        <w:t xml:space="preserve">The community has the ability for third party companies, such as nutrition experts and fitness-oriented companies to reach out to our customers, enabling us to capitalize on all the data captured by charging these third-party companies for the interaction with potential or current clients. </w:t>
      </w:r>
    </w:p>
    <w:p>
      <w:pPr>
        <w:rPr>
          <w:sz w:val="24"/>
          <w:szCs w:val="24"/>
        </w:rPr>
      </w:pPr>
      <w:r>
        <w:rPr>
          <w:sz w:val="24"/>
          <w:szCs w:val="24"/>
        </w:rPr>
        <w:t>The company leverages this data for marketing, promotions, identifying new locations to open. The information gathered is large and it needs to be dynamic and real time. The key for this information is to understand the relationships and networks maintained between customers.</w:t>
      </w:r>
    </w:p>
    <w:p>
      <w:pPr>
        <w:rPr>
          <w:sz w:val="24"/>
          <w:szCs w:val="24"/>
        </w:rPr>
      </w:pPr>
      <w:r>
        <w:rPr>
          <w:sz w:val="24"/>
          <w:szCs w:val="24"/>
        </w:rPr>
        <w:t>As such we set up a Neo4j database to handle the Community aspect of the app. This type of database will cover all of the needs mentioned above.</w:t>
      </w:r>
    </w:p>
    <w:p>
      <w:pPr>
        <w:rPr>
          <w:sz w:val="24"/>
          <w:szCs w:val="24"/>
        </w:rPr>
      </w:pPr>
      <w:r>
        <w:rPr>
          <w:sz w:val="24"/>
          <w:szCs w:val="24"/>
        </w:rPr>
        <w:br w:type="page"/>
      </w:r>
    </w:p>
    <w:p>
      <w:pPr>
        <w:rPr>
          <w:sz w:val="24"/>
          <w:szCs w:val="24"/>
        </w:rPr>
      </w:pPr>
    </w:p>
    <w:p>
      <w:pPr>
        <w:pStyle w:val="3"/>
      </w:pPr>
      <w:bookmarkStart w:id="18" w:name="_Toc3276770"/>
      <w:r>
        <w:t>AIR MILES Rewards Program</w:t>
      </w:r>
      <w:bookmarkEnd w:id="18"/>
    </w:p>
    <w:p>
      <w:pPr>
        <w:spacing w:after="0" w:line="240" w:lineRule="auto"/>
        <w:rPr>
          <w:b/>
          <w:sz w:val="24"/>
          <w:szCs w:val="24"/>
        </w:rPr>
      </w:pPr>
    </w:p>
    <w:p>
      <w:pPr>
        <w:spacing w:after="0" w:line="240" w:lineRule="auto"/>
        <w:rPr>
          <w:sz w:val="24"/>
          <w:szCs w:val="24"/>
        </w:rPr>
      </w:pPr>
      <w:r>
        <w:rPr>
          <w:sz w:val="24"/>
          <w:szCs w:val="24"/>
          <w:lang w:eastAsia="en-CA"/>
        </w:rPr>
        <w:drawing>
          <wp:inline distT="0" distB="0" distL="0" distR="0">
            <wp:extent cx="4935855"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stretch>
                      <a:fillRect/>
                    </a:stretch>
                  </pic:blipFill>
                  <pic:spPr>
                    <a:xfrm>
                      <a:off x="0" y="0"/>
                      <a:ext cx="4957208" cy="3194824"/>
                    </a:xfrm>
                    <a:prstGeom prst="rect">
                      <a:avLst/>
                    </a:prstGeom>
                  </pic:spPr>
                </pic:pic>
              </a:graphicData>
            </a:graphic>
          </wp:inline>
        </w:drawing>
      </w:r>
    </w:p>
    <w:p>
      <w:pPr>
        <w:spacing w:after="0" w:line="240" w:lineRule="auto"/>
        <w:rPr>
          <w:sz w:val="24"/>
          <w:szCs w:val="24"/>
        </w:rPr>
      </w:pPr>
    </w:p>
    <w:p>
      <w:pPr>
        <w:spacing w:after="0" w:line="240" w:lineRule="auto"/>
        <w:rPr>
          <w:sz w:val="24"/>
          <w:szCs w:val="24"/>
        </w:rPr>
      </w:pPr>
      <w:r>
        <w:rPr>
          <w:sz w:val="24"/>
          <w:szCs w:val="24"/>
        </w:rPr>
        <w:t xml:space="preserve">Based on Air Miles data, the performance of the Air Miles program at other partners has grown since late 2018. Most promotions are driving a return of 2x sales which is a margin positive. </w:t>
      </w:r>
    </w:p>
    <w:p>
      <w:pPr>
        <w:spacing w:after="0" w:line="240" w:lineRule="auto"/>
        <w:rPr>
          <w:sz w:val="24"/>
          <w:szCs w:val="24"/>
        </w:rPr>
      </w:pPr>
    </w:p>
    <w:p>
      <w:pPr>
        <w:spacing w:after="0" w:line="240" w:lineRule="auto"/>
        <w:rPr>
          <w:sz w:val="24"/>
          <w:szCs w:val="24"/>
        </w:rPr>
      </w:pPr>
      <w:r>
        <w:rPr>
          <w:sz w:val="24"/>
          <w:szCs w:val="24"/>
        </w:rPr>
        <w:t>Air Miles programs have higher active memberships than the average retail program due to:</w:t>
      </w:r>
    </w:p>
    <w:p>
      <w:pPr>
        <w:pStyle w:val="26"/>
        <w:numPr>
          <w:ilvl w:val="0"/>
          <w:numId w:val="3"/>
        </w:numPr>
        <w:spacing w:after="0" w:line="240" w:lineRule="auto"/>
        <w:rPr>
          <w:sz w:val="24"/>
          <w:szCs w:val="24"/>
        </w:rPr>
      </w:pPr>
      <w:r>
        <w:rPr>
          <w:sz w:val="24"/>
          <w:szCs w:val="24"/>
        </w:rPr>
        <w:t>More opportunities to earn, across more categories of spend</w:t>
      </w:r>
    </w:p>
    <w:p>
      <w:pPr>
        <w:pStyle w:val="26"/>
        <w:numPr>
          <w:ilvl w:val="0"/>
          <w:numId w:val="3"/>
        </w:numPr>
        <w:spacing w:after="0" w:line="240" w:lineRule="auto"/>
        <w:rPr>
          <w:sz w:val="24"/>
          <w:szCs w:val="24"/>
        </w:rPr>
      </w:pPr>
      <w:r>
        <w:rPr>
          <w:sz w:val="24"/>
          <w:szCs w:val="24"/>
        </w:rPr>
        <w:t xml:space="preserve">Appeal &amp; flexibility of redemption options </w:t>
      </w:r>
    </w:p>
    <w:p>
      <w:pPr>
        <w:pStyle w:val="26"/>
        <w:numPr>
          <w:ilvl w:val="0"/>
          <w:numId w:val="3"/>
        </w:numPr>
        <w:spacing w:after="0" w:line="240" w:lineRule="auto"/>
        <w:rPr>
          <w:sz w:val="24"/>
          <w:szCs w:val="24"/>
        </w:rPr>
      </w:pPr>
      <w:r>
        <w:rPr>
          <w:sz w:val="24"/>
          <w:szCs w:val="24"/>
        </w:rPr>
        <w:t>Credit card partnerships</w:t>
      </w:r>
    </w:p>
    <w:p>
      <w:pPr>
        <w:spacing w:after="0" w:line="240" w:lineRule="auto"/>
        <w:rPr>
          <w:sz w:val="24"/>
          <w:szCs w:val="24"/>
        </w:rPr>
      </w:pPr>
    </w:p>
    <w:p>
      <w:pPr>
        <w:spacing w:after="0" w:line="240" w:lineRule="auto"/>
        <w:rPr>
          <w:sz w:val="24"/>
          <w:szCs w:val="24"/>
        </w:rPr>
      </w:pPr>
      <w:r>
        <w:rPr>
          <w:sz w:val="24"/>
          <w:szCs w:val="24"/>
          <w:lang w:eastAsia="en-CA"/>
        </w:rPr>
        <w:drawing>
          <wp:anchor distT="0" distB="0" distL="114300" distR="114300" simplePos="0" relativeHeight="251659264" behindDoc="0" locked="0" layoutInCell="1" allowOverlap="1">
            <wp:simplePos x="0" y="0"/>
            <wp:positionH relativeFrom="margin">
              <wp:align>right</wp:align>
            </wp:positionH>
            <wp:positionV relativeFrom="paragraph">
              <wp:posOffset>9525</wp:posOffset>
            </wp:positionV>
            <wp:extent cx="2724150" cy="18954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24150" cy="1895475"/>
                    </a:xfrm>
                    <a:prstGeom prst="rect">
                      <a:avLst/>
                    </a:prstGeom>
                  </pic:spPr>
                </pic:pic>
              </a:graphicData>
            </a:graphic>
          </wp:anchor>
        </w:drawing>
      </w:r>
      <w:r>
        <w:rPr>
          <w:sz w:val="24"/>
          <w:szCs w:val="24"/>
        </w:rPr>
        <w:t>As we franchise the business, customer engagement will become a challenge as Davinci’s Pizza only has fewer trips per year. With Air Miles on board, the program will help us to have a program that are:</w:t>
      </w:r>
    </w:p>
    <w:p>
      <w:pPr>
        <w:pStyle w:val="26"/>
        <w:numPr>
          <w:ilvl w:val="0"/>
          <w:numId w:val="3"/>
        </w:numPr>
        <w:spacing w:after="0" w:line="240" w:lineRule="auto"/>
        <w:rPr>
          <w:sz w:val="24"/>
          <w:szCs w:val="24"/>
        </w:rPr>
      </w:pPr>
      <w:r>
        <w:rPr>
          <w:sz w:val="24"/>
          <w:szCs w:val="24"/>
        </w:rPr>
        <w:t>Easy to use (e.g. app, phone # as alternatives to physical card)</w:t>
      </w:r>
    </w:p>
    <w:p>
      <w:pPr>
        <w:pStyle w:val="26"/>
        <w:numPr>
          <w:ilvl w:val="0"/>
          <w:numId w:val="3"/>
        </w:numPr>
        <w:spacing w:after="0" w:line="240" w:lineRule="auto"/>
        <w:rPr>
          <w:sz w:val="24"/>
          <w:szCs w:val="24"/>
        </w:rPr>
      </w:pPr>
      <w:r>
        <w:rPr>
          <w:sz w:val="24"/>
          <w:szCs w:val="24"/>
        </w:rPr>
        <w:t xml:space="preserve">Effectively leverage promotions to drive frequency </w:t>
      </w:r>
    </w:p>
    <w:p>
      <w:pPr>
        <w:pStyle w:val="26"/>
        <w:numPr>
          <w:ilvl w:val="0"/>
          <w:numId w:val="3"/>
        </w:numPr>
        <w:spacing w:after="0" w:line="240" w:lineRule="auto"/>
        <w:rPr>
          <w:sz w:val="24"/>
          <w:szCs w:val="24"/>
        </w:rPr>
      </w:pPr>
      <w:r>
        <w:rPr>
          <w:sz w:val="24"/>
          <w:szCs w:val="24"/>
        </w:rPr>
        <w:t>Have achievable redemption thresholds</w:t>
      </w:r>
    </w:p>
    <w:p>
      <w:pPr>
        <w:spacing w:after="0" w:line="240" w:lineRule="auto"/>
        <w:rPr>
          <w:sz w:val="24"/>
          <w:szCs w:val="24"/>
        </w:rPr>
      </w:pPr>
    </w:p>
    <w:p>
      <w:pPr>
        <w:spacing w:after="0" w:line="240" w:lineRule="auto"/>
        <w:rPr>
          <w:sz w:val="24"/>
          <w:szCs w:val="24"/>
        </w:rPr>
      </w:pPr>
    </w:p>
    <w:p>
      <w:pPr>
        <w:spacing w:after="0" w:line="240" w:lineRule="auto"/>
        <w:rPr>
          <w:sz w:val="24"/>
          <w:szCs w:val="24"/>
        </w:rPr>
      </w:pPr>
      <w:r>
        <w:rPr>
          <w:sz w:val="24"/>
          <w:szCs w:val="24"/>
        </w:rPr>
        <w:t>Also, based on the Air Miles data, membership, reach and engagement with the loyalty program are essential for driving sales with promotions.</w:t>
      </w:r>
    </w:p>
    <w:p>
      <w:pPr>
        <w:spacing w:after="0" w:line="240" w:lineRule="auto"/>
        <w:rPr>
          <w:sz w:val="24"/>
          <w:szCs w:val="24"/>
        </w:rPr>
      </w:pPr>
    </w:p>
    <w:p>
      <w:pPr>
        <w:spacing w:after="0" w:line="240" w:lineRule="auto"/>
        <w:rPr>
          <w:sz w:val="24"/>
          <w:szCs w:val="24"/>
        </w:rPr>
      </w:pPr>
      <w:r>
        <w:rPr>
          <w:sz w:val="24"/>
          <w:szCs w:val="24"/>
          <w:lang w:eastAsia="en-CA"/>
        </w:rPr>
        <w:drawing>
          <wp:anchor distT="0" distB="0" distL="114300" distR="114300" simplePos="0" relativeHeight="251660288" behindDoc="0" locked="0" layoutInCell="1" allowOverlap="1">
            <wp:simplePos x="0" y="0"/>
            <wp:positionH relativeFrom="margin">
              <wp:align>right</wp:align>
            </wp:positionH>
            <wp:positionV relativeFrom="paragraph">
              <wp:posOffset>5080</wp:posOffset>
            </wp:positionV>
            <wp:extent cx="2341880" cy="1855470"/>
            <wp:effectExtent l="0" t="0" r="1270" b="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41880" cy="1855470"/>
                    </a:xfrm>
                    <a:prstGeom prst="rect">
                      <a:avLst/>
                    </a:prstGeom>
                  </pic:spPr>
                </pic:pic>
              </a:graphicData>
            </a:graphic>
          </wp:anchor>
        </w:drawing>
      </w:r>
      <w:r>
        <w:rPr>
          <w:sz w:val="24"/>
          <w:szCs w:val="24"/>
        </w:rPr>
        <w:t>With our Mobile App:</w:t>
      </w:r>
    </w:p>
    <w:p>
      <w:pPr>
        <w:numPr>
          <w:ilvl w:val="0"/>
          <w:numId w:val="4"/>
        </w:numPr>
        <w:spacing w:after="0" w:line="240" w:lineRule="auto"/>
        <w:rPr>
          <w:sz w:val="24"/>
          <w:szCs w:val="24"/>
        </w:rPr>
      </w:pPr>
      <w:r>
        <w:rPr>
          <w:sz w:val="24"/>
          <w:szCs w:val="24"/>
        </w:rPr>
        <w:t>Mobile apps are important for engagement and reach but need to be marketed to be successful</w:t>
      </w:r>
    </w:p>
    <w:p>
      <w:pPr>
        <w:numPr>
          <w:ilvl w:val="0"/>
          <w:numId w:val="4"/>
        </w:numPr>
        <w:spacing w:after="0" w:line="240" w:lineRule="auto"/>
        <w:rPr>
          <w:sz w:val="24"/>
          <w:szCs w:val="24"/>
        </w:rPr>
      </w:pPr>
      <w:r>
        <w:rPr>
          <w:sz w:val="24"/>
          <w:szCs w:val="24"/>
        </w:rPr>
        <w:t>Davinci’s Pizza is launching a new app and this project would need to align with loyalty if we decide to launch a program</w:t>
      </w: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spacing w:after="0" w:line="240" w:lineRule="auto"/>
        <w:rPr>
          <w:sz w:val="24"/>
          <w:szCs w:val="24"/>
        </w:rPr>
      </w:pPr>
    </w:p>
    <w:p>
      <w:pPr>
        <w:pStyle w:val="3"/>
      </w:pPr>
      <w:bookmarkStart w:id="19" w:name="_Toc3276771"/>
      <w:r>
        <w:t>The AIR MILES Reward Program: Redemption, Earn Rate &amp; Partners (Estimation)</w:t>
      </w:r>
      <w:bookmarkEnd w:id="19"/>
      <w:r>
        <w:t xml:space="preserve"> </w:t>
      </w:r>
    </w:p>
    <w:p>
      <w:pPr>
        <w:rPr>
          <w:b/>
          <w:bCs/>
          <w:sz w:val="24"/>
          <w:szCs w:val="24"/>
        </w:rPr>
      </w:pPr>
      <w:r>
        <w:rPr>
          <w:lang w:eastAsia="en-CA"/>
        </w:rPr>
        <w:drawing>
          <wp:inline distT="0" distB="0" distL="0" distR="0">
            <wp:extent cx="6487160" cy="39243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a:stretch>
                      <a:fillRect/>
                    </a:stretch>
                  </pic:blipFill>
                  <pic:spPr>
                    <a:xfrm>
                      <a:off x="0" y="0"/>
                      <a:ext cx="6497439" cy="3930269"/>
                    </a:xfrm>
                    <a:prstGeom prst="rect">
                      <a:avLst/>
                    </a:prstGeom>
                  </pic:spPr>
                </pic:pic>
              </a:graphicData>
            </a:graphic>
          </wp:inline>
        </w:drawing>
      </w:r>
      <w:r>
        <w:rPr>
          <w:b/>
          <w:bCs/>
          <w:sz w:val="24"/>
          <w:szCs w:val="24"/>
        </w:rPr>
        <w:t xml:space="preserve"> </w:t>
      </w:r>
      <w:r>
        <w:rPr>
          <w:b/>
          <w:bCs/>
          <w:sz w:val="24"/>
          <w:szCs w:val="24"/>
        </w:rPr>
        <w:br w:type="page"/>
      </w:r>
    </w:p>
    <w:p>
      <w:pPr>
        <w:pStyle w:val="15"/>
        <w:rPr>
          <w:b/>
        </w:rPr>
      </w:pPr>
      <w:r>
        <w:rPr>
          <w:b/>
        </w:rPr>
        <w:t>Estimates Costs to Launch a Loyalty Program with Air Miles</w:t>
      </w:r>
    </w:p>
    <w:tbl>
      <w:tblPr>
        <w:tblStyle w:val="25"/>
        <w:tblW w:w="9296" w:type="dxa"/>
        <w:tblInd w:w="0" w:type="dxa"/>
        <w:tblLayout w:type="fixed"/>
        <w:tblCellMar>
          <w:top w:w="0" w:type="dxa"/>
          <w:left w:w="0" w:type="dxa"/>
          <w:bottom w:w="0" w:type="dxa"/>
          <w:right w:w="0" w:type="dxa"/>
        </w:tblCellMar>
      </w:tblPr>
      <w:tblGrid>
        <w:gridCol w:w="2450"/>
        <w:gridCol w:w="1265"/>
        <w:gridCol w:w="1121"/>
        <w:gridCol w:w="1115"/>
        <w:gridCol w:w="1115"/>
        <w:gridCol w:w="1115"/>
        <w:gridCol w:w="1115"/>
      </w:tblGrid>
      <w:tr>
        <w:tblPrEx>
          <w:tblLayout w:type="fixed"/>
          <w:tblCellMar>
            <w:top w:w="0" w:type="dxa"/>
            <w:left w:w="0" w:type="dxa"/>
            <w:bottom w:w="0" w:type="dxa"/>
            <w:right w:w="0" w:type="dxa"/>
          </w:tblCellMar>
        </w:tblPrEx>
        <w:trPr>
          <w:trHeight w:val="274" w:hRule="atLeast"/>
        </w:trPr>
        <w:tc>
          <w:tcPr>
            <w:tcW w:w="2450" w:type="dxa"/>
            <w:tcBorders>
              <w:top w:val="nil"/>
              <w:left w:val="single" w:color="000000" w:sz="4" w:space="0"/>
              <w:bottom w:val="single" w:color="000000" w:sz="4" w:space="0"/>
              <w:right w:val="single" w:color="000000" w:sz="4" w:space="0"/>
            </w:tcBorders>
            <w:shd w:val="clear" w:color="auto" w:fill="0D0D0D"/>
            <w:tcMar>
              <w:top w:w="9" w:type="dxa"/>
              <w:left w:w="9" w:type="dxa"/>
              <w:bottom w:w="0" w:type="dxa"/>
              <w:right w:w="9" w:type="dxa"/>
            </w:tcMar>
            <w:vAlign w:val="bottom"/>
          </w:tcPr>
          <w:p>
            <w:pPr>
              <w:spacing w:after="0" w:line="240" w:lineRule="auto"/>
              <w:rPr>
                <w:sz w:val="24"/>
                <w:szCs w:val="24"/>
              </w:rPr>
            </w:pPr>
          </w:p>
        </w:tc>
        <w:tc>
          <w:tcPr>
            <w:tcW w:w="1265" w:type="dxa"/>
            <w:tcBorders>
              <w:top w:val="nil"/>
              <w:left w:val="single" w:color="000000" w:sz="4" w:space="0"/>
              <w:bottom w:val="single" w:color="000000" w:sz="4" w:space="0"/>
              <w:right w:val="nil"/>
            </w:tcBorders>
            <w:shd w:val="clear" w:color="auto" w:fill="0D0D0D"/>
            <w:tcMar>
              <w:top w:w="9" w:type="dxa"/>
              <w:left w:w="9" w:type="dxa"/>
              <w:bottom w:w="0" w:type="dxa"/>
              <w:right w:w="9" w:type="dxa"/>
            </w:tcMar>
            <w:vAlign w:val="bottom"/>
          </w:tcPr>
          <w:p>
            <w:pPr>
              <w:spacing w:after="0" w:line="240" w:lineRule="auto"/>
              <w:rPr>
                <w:sz w:val="24"/>
                <w:szCs w:val="24"/>
              </w:rPr>
            </w:pPr>
            <w:r>
              <w:rPr>
                <w:b/>
                <w:bCs/>
                <w:sz w:val="24"/>
                <w:szCs w:val="24"/>
              </w:rPr>
              <w:t>Costs</w:t>
            </w:r>
          </w:p>
        </w:tc>
        <w:tc>
          <w:tcPr>
            <w:tcW w:w="1121" w:type="dxa"/>
            <w:tcBorders>
              <w:top w:val="nil"/>
              <w:left w:val="nil"/>
              <w:bottom w:val="single" w:color="000000" w:sz="4" w:space="0"/>
              <w:right w:val="nil"/>
            </w:tcBorders>
            <w:shd w:val="clear" w:color="auto" w:fill="0D0D0D"/>
            <w:tcMar>
              <w:top w:w="9" w:type="dxa"/>
              <w:left w:w="9" w:type="dxa"/>
              <w:bottom w:w="0" w:type="dxa"/>
              <w:right w:w="9" w:type="dxa"/>
            </w:tcMar>
            <w:vAlign w:val="bottom"/>
          </w:tcPr>
          <w:p>
            <w:pPr>
              <w:spacing w:after="0" w:line="240" w:lineRule="auto"/>
              <w:rPr>
                <w:sz w:val="24"/>
                <w:szCs w:val="24"/>
              </w:rPr>
            </w:pPr>
            <w:r>
              <w:rPr>
                <w:b/>
                <w:bCs/>
                <w:sz w:val="24"/>
                <w:szCs w:val="24"/>
              </w:rPr>
              <w:t>Year 1</w:t>
            </w:r>
          </w:p>
        </w:tc>
        <w:tc>
          <w:tcPr>
            <w:tcW w:w="1115" w:type="dxa"/>
            <w:tcBorders>
              <w:top w:val="nil"/>
              <w:left w:val="nil"/>
              <w:bottom w:val="single" w:color="000000" w:sz="4" w:space="0"/>
              <w:right w:val="nil"/>
            </w:tcBorders>
            <w:shd w:val="clear" w:color="auto" w:fill="0D0D0D"/>
            <w:tcMar>
              <w:top w:w="9" w:type="dxa"/>
              <w:left w:w="9" w:type="dxa"/>
              <w:bottom w:w="0" w:type="dxa"/>
              <w:right w:w="9" w:type="dxa"/>
            </w:tcMar>
            <w:vAlign w:val="bottom"/>
          </w:tcPr>
          <w:p>
            <w:pPr>
              <w:spacing w:after="0" w:line="240" w:lineRule="auto"/>
              <w:rPr>
                <w:sz w:val="24"/>
                <w:szCs w:val="24"/>
              </w:rPr>
            </w:pPr>
            <w:r>
              <w:rPr>
                <w:b/>
                <w:bCs/>
                <w:sz w:val="24"/>
                <w:szCs w:val="24"/>
              </w:rPr>
              <w:t>Year 2</w:t>
            </w:r>
          </w:p>
        </w:tc>
        <w:tc>
          <w:tcPr>
            <w:tcW w:w="1115" w:type="dxa"/>
            <w:tcBorders>
              <w:top w:val="nil"/>
              <w:left w:val="nil"/>
              <w:bottom w:val="single" w:color="000000" w:sz="4" w:space="0"/>
              <w:right w:val="nil"/>
            </w:tcBorders>
            <w:shd w:val="clear" w:color="auto" w:fill="0D0D0D"/>
            <w:tcMar>
              <w:top w:w="9" w:type="dxa"/>
              <w:left w:w="9" w:type="dxa"/>
              <w:bottom w:w="0" w:type="dxa"/>
              <w:right w:w="9" w:type="dxa"/>
            </w:tcMar>
            <w:vAlign w:val="bottom"/>
          </w:tcPr>
          <w:p>
            <w:pPr>
              <w:spacing w:after="0" w:line="240" w:lineRule="auto"/>
              <w:rPr>
                <w:sz w:val="24"/>
                <w:szCs w:val="24"/>
              </w:rPr>
            </w:pPr>
            <w:r>
              <w:rPr>
                <w:b/>
                <w:bCs/>
                <w:sz w:val="24"/>
                <w:szCs w:val="24"/>
              </w:rPr>
              <w:t>Year 3</w:t>
            </w:r>
          </w:p>
        </w:tc>
        <w:tc>
          <w:tcPr>
            <w:tcW w:w="1115" w:type="dxa"/>
            <w:tcBorders>
              <w:top w:val="nil"/>
              <w:left w:val="nil"/>
              <w:bottom w:val="single" w:color="000000" w:sz="4" w:space="0"/>
              <w:right w:val="nil"/>
            </w:tcBorders>
            <w:shd w:val="clear" w:color="auto" w:fill="0D0D0D"/>
            <w:tcMar>
              <w:top w:w="9" w:type="dxa"/>
              <w:left w:w="9" w:type="dxa"/>
              <w:bottom w:w="0" w:type="dxa"/>
              <w:right w:w="9" w:type="dxa"/>
            </w:tcMar>
            <w:vAlign w:val="bottom"/>
          </w:tcPr>
          <w:p>
            <w:pPr>
              <w:spacing w:after="0" w:line="240" w:lineRule="auto"/>
              <w:rPr>
                <w:sz w:val="24"/>
                <w:szCs w:val="24"/>
              </w:rPr>
            </w:pPr>
            <w:r>
              <w:rPr>
                <w:b/>
                <w:bCs/>
                <w:sz w:val="24"/>
                <w:szCs w:val="24"/>
              </w:rPr>
              <w:t>Year 4</w:t>
            </w:r>
          </w:p>
        </w:tc>
        <w:tc>
          <w:tcPr>
            <w:tcW w:w="1115" w:type="dxa"/>
            <w:tcBorders>
              <w:top w:val="nil"/>
              <w:left w:val="nil"/>
              <w:bottom w:val="single" w:color="000000" w:sz="4" w:space="0"/>
              <w:right w:val="nil"/>
            </w:tcBorders>
            <w:shd w:val="clear" w:color="auto" w:fill="0D0D0D"/>
            <w:tcMar>
              <w:top w:w="9" w:type="dxa"/>
              <w:left w:w="9" w:type="dxa"/>
              <w:bottom w:w="0" w:type="dxa"/>
              <w:right w:w="9" w:type="dxa"/>
            </w:tcMar>
            <w:vAlign w:val="bottom"/>
          </w:tcPr>
          <w:p>
            <w:pPr>
              <w:spacing w:after="0" w:line="240" w:lineRule="auto"/>
              <w:rPr>
                <w:sz w:val="24"/>
                <w:szCs w:val="24"/>
              </w:rPr>
            </w:pPr>
            <w:r>
              <w:rPr>
                <w:b/>
                <w:bCs/>
                <w:sz w:val="24"/>
                <w:szCs w:val="24"/>
              </w:rPr>
              <w:t>Year 5</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single" w:color="000000" w:sz="4" w:space="0"/>
              <w:right w:val="single" w:color="000000" w:sz="4" w:space="0"/>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IT</w:t>
            </w:r>
          </w:p>
        </w:tc>
        <w:tc>
          <w:tcPr>
            <w:tcW w:w="1265" w:type="dxa"/>
            <w:tcBorders>
              <w:top w:val="single" w:color="000000" w:sz="4" w:space="0"/>
              <w:left w:val="single" w:color="000000" w:sz="4" w:space="0"/>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21"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r>
      <w:tr>
        <w:tblPrEx>
          <w:tblLayout w:type="fixed"/>
          <w:tblCellMar>
            <w:top w:w="0" w:type="dxa"/>
            <w:left w:w="0" w:type="dxa"/>
            <w:bottom w:w="0" w:type="dxa"/>
            <w:right w:w="0" w:type="dxa"/>
          </w:tblCellMar>
        </w:tblPrEx>
        <w:trPr>
          <w:trHeight w:val="212" w:hRule="atLeast"/>
        </w:trPr>
        <w:tc>
          <w:tcPr>
            <w:tcW w:w="2450" w:type="dxa"/>
            <w:tcBorders>
              <w:top w:val="single" w:color="000000" w:sz="4" w:space="0"/>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Web/Mobile App Design</w:t>
            </w:r>
          </w:p>
        </w:tc>
        <w:tc>
          <w:tcPr>
            <w:tcW w:w="1265" w:type="dxa"/>
            <w:tcBorders>
              <w:top w:val="single" w:color="000000" w:sz="4" w:space="0"/>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$500,000 </w:t>
            </w:r>
          </w:p>
        </w:tc>
        <w:tc>
          <w:tcPr>
            <w:tcW w:w="1121"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r>
      <w:tr>
        <w:tblPrEx>
          <w:tblLayout w:type="fixed"/>
          <w:tblCellMar>
            <w:top w:w="0" w:type="dxa"/>
            <w:left w:w="0" w:type="dxa"/>
            <w:bottom w:w="0" w:type="dxa"/>
            <w:right w:w="0" w:type="dxa"/>
          </w:tblCellMar>
        </w:tblPrEx>
        <w:trPr>
          <w:trHeight w:val="177" w:hRule="atLeast"/>
        </w:trPr>
        <w:tc>
          <w:tcPr>
            <w:tcW w:w="2450" w:type="dxa"/>
            <w:tcBorders>
              <w:top w:val="nil"/>
              <w:left w:val="single" w:color="000000" w:sz="4" w:space="0"/>
              <w:bottom w:val="single" w:color="000000" w:sz="4" w:space="0"/>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Internal IT Costs</w:t>
            </w:r>
          </w:p>
        </w:tc>
        <w:tc>
          <w:tcPr>
            <w:tcW w:w="1265" w:type="dxa"/>
            <w:tcBorders>
              <w:top w:val="nil"/>
              <w:left w:val="single" w:color="000000" w:sz="4" w:space="0"/>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$750,000 </w:t>
            </w:r>
          </w:p>
        </w:tc>
        <w:tc>
          <w:tcPr>
            <w:tcW w:w="1121"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single" w:color="000000" w:sz="4" w:space="0"/>
              <w:right w:val="single" w:color="000000" w:sz="4" w:space="0"/>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IT CAPEX</w:t>
            </w:r>
          </w:p>
        </w:tc>
        <w:tc>
          <w:tcPr>
            <w:tcW w:w="1265" w:type="dxa"/>
            <w:tcBorders>
              <w:top w:val="single" w:color="000000" w:sz="4" w:space="0"/>
              <w:left w:val="single" w:color="000000" w:sz="4" w:space="0"/>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$1,750,000 </w:t>
            </w:r>
          </w:p>
        </w:tc>
        <w:tc>
          <w:tcPr>
            <w:tcW w:w="1121"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$0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Ongoing Web/Mobile App Development</w:t>
            </w:r>
          </w:p>
        </w:tc>
        <w:tc>
          <w:tcPr>
            <w:tcW w:w="1265" w:type="dxa"/>
            <w:tcBorders>
              <w:top w:val="single" w:color="000000" w:sz="4" w:space="0"/>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21"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$50,000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$50,000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$50,000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$50,000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$50,000 </w:t>
            </w:r>
          </w:p>
        </w:tc>
      </w:tr>
      <w:tr>
        <w:tblPrEx>
          <w:tblLayout w:type="fixed"/>
          <w:tblCellMar>
            <w:top w:w="0" w:type="dxa"/>
            <w:left w:w="0" w:type="dxa"/>
            <w:bottom w:w="0" w:type="dxa"/>
            <w:right w:w="0" w:type="dxa"/>
          </w:tblCellMar>
        </w:tblPrEx>
        <w:trPr>
          <w:trHeight w:val="177" w:hRule="atLeast"/>
        </w:trPr>
        <w:tc>
          <w:tcPr>
            <w:tcW w:w="2450" w:type="dxa"/>
            <w:tcBorders>
              <w:top w:val="nil"/>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Management Vendor</w:t>
            </w:r>
          </w:p>
        </w:tc>
        <w:tc>
          <w:tcPr>
            <w:tcW w:w="1265" w:type="dxa"/>
            <w:tcBorders>
              <w:top w:val="nil"/>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21"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$1,800,000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$1,800,000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$1,800,000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$1,800,000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$1,800,000 </w:t>
            </w:r>
          </w:p>
        </w:tc>
      </w:tr>
      <w:tr>
        <w:tblPrEx>
          <w:tblLayout w:type="fixed"/>
          <w:tblCellMar>
            <w:top w:w="0" w:type="dxa"/>
            <w:left w:w="0" w:type="dxa"/>
            <w:bottom w:w="0" w:type="dxa"/>
            <w:right w:w="0" w:type="dxa"/>
          </w:tblCellMar>
        </w:tblPrEx>
        <w:trPr>
          <w:trHeight w:val="177" w:hRule="atLeast"/>
        </w:trPr>
        <w:tc>
          <w:tcPr>
            <w:tcW w:w="2450" w:type="dxa"/>
            <w:tcBorders>
              <w:top w:val="nil"/>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Internal IT Costs</w:t>
            </w:r>
          </w:p>
        </w:tc>
        <w:tc>
          <w:tcPr>
            <w:tcW w:w="1265" w:type="dxa"/>
            <w:tcBorders>
              <w:top w:val="nil"/>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21"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r>
      <w:tr>
        <w:tblPrEx>
          <w:tblLayout w:type="fixed"/>
          <w:tblCellMar>
            <w:top w:w="0" w:type="dxa"/>
            <w:left w:w="0" w:type="dxa"/>
            <w:bottom w:w="0" w:type="dxa"/>
            <w:right w:w="0" w:type="dxa"/>
          </w:tblCellMar>
        </w:tblPrEx>
        <w:trPr>
          <w:trHeight w:val="177" w:hRule="atLeast"/>
        </w:trPr>
        <w:tc>
          <w:tcPr>
            <w:tcW w:w="2450" w:type="dxa"/>
            <w:tcBorders>
              <w:top w:val="nil"/>
              <w:left w:val="single" w:color="000000" w:sz="4" w:space="0"/>
              <w:bottom w:val="single" w:color="000000" w:sz="4" w:space="0"/>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Fraud Monitoring</w:t>
            </w:r>
          </w:p>
        </w:tc>
        <w:tc>
          <w:tcPr>
            <w:tcW w:w="1265" w:type="dxa"/>
            <w:tcBorders>
              <w:top w:val="nil"/>
              <w:left w:val="single" w:color="000000" w:sz="4" w:space="0"/>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21"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single" w:color="000000" w:sz="4" w:space="0"/>
              <w:right w:val="single" w:color="000000" w:sz="4" w:space="0"/>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IT OPEX</w:t>
            </w:r>
          </w:p>
        </w:tc>
        <w:tc>
          <w:tcPr>
            <w:tcW w:w="1265" w:type="dxa"/>
            <w:tcBorders>
              <w:top w:val="single" w:color="000000" w:sz="4" w:space="0"/>
              <w:left w:val="single" w:color="000000" w:sz="4" w:space="0"/>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$0 </w:t>
            </w:r>
          </w:p>
        </w:tc>
        <w:tc>
          <w:tcPr>
            <w:tcW w:w="1121"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$2,050,000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$2,050,000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$2,050,000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$2,050,000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$2,050,000 </w:t>
            </w:r>
          </w:p>
        </w:tc>
      </w:tr>
      <w:tr>
        <w:tblPrEx>
          <w:tblLayout w:type="fixed"/>
          <w:tblCellMar>
            <w:top w:w="0" w:type="dxa"/>
            <w:left w:w="0" w:type="dxa"/>
            <w:bottom w:w="0" w:type="dxa"/>
            <w:right w:w="0" w:type="dxa"/>
          </w:tblCellMar>
        </w:tblPrEx>
        <w:trPr>
          <w:trHeight w:val="166" w:hRule="atLeast"/>
        </w:trPr>
        <w:tc>
          <w:tcPr>
            <w:tcW w:w="2450" w:type="dxa"/>
            <w:tcBorders>
              <w:top w:val="single" w:color="000000" w:sz="4" w:space="0"/>
              <w:left w:val="single" w:color="000000" w:sz="4" w:space="0"/>
              <w:bottom w:val="single" w:color="000000" w:sz="4" w:space="0"/>
              <w:right w:val="single" w:color="000000" w:sz="4" w:space="0"/>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Restaurant Operational Costs</w:t>
            </w:r>
          </w:p>
        </w:tc>
        <w:tc>
          <w:tcPr>
            <w:tcW w:w="1265" w:type="dxa"/>
            <w:tcBorders>
              <w:top w:val="single" w:color="000000" w:sz="4" w:space="0"/>
              <w:left w:val="single" w:color="000000" w:sz="4" w:space="0"/>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21"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r>
      <w:tr>
        <w:tblPrEx>
          <w:tblLayout w:type="fixed"/>
          <w:tblCellMar>
            <w:top w:w="0" w:type="dxa"/>
            <w:left w:w="0" w:type="dxa"/>
            <w:bottom w:w="0" w:type="dxa"/>
            <w:right w:w="0" w:type="dxa"/>
          </w:tblCellMar>
        </w:tblPrEx>
        <w:trPr>
          <w:trHeight w:val="213" w:hRule="atLeast"/>
        </w:trPr>
        <w:tc>
          <w:tcPr>
            <w:tcW w:w="2450" w:type="dxa"/>
            <w:tcBorders>
              <w:top w:val="single" w:color="000000" w:sz="4" w:space="0"/>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POP/Merchandisers</w:t>
            </w:r>
          </w:p>
        </w:tc>
        <w:tc>
          <w:tcPr>
            <w:tcW w:w="1265" w:type="dxa"/>
            <w:tcBorders>
              <w:top w:val="single" w:color="000000" w:sz="4" w:space="0"/>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$500,000 </w:t>
            </w:r>
          </w:p>
        </w:tc>
        <w:tc>
          <w:tcPr>
            <w:tcW w:w="1121"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r>
      <w:tr>
        <w:tblPrEx>
          <w:tblLayout w:type="fixed"/>
          <w:tblCellMar>
            <w:top w:w="0" w:type="dxa"/>
            <w:left w:w="0" w:type="dxa"/>
            <w:bottom w:w="0" w:type="dxa"/>
            <w:right w:w="0" w:type="dxa"/>
          </w:tblCellMar>
        </w:tblPrEx>
        <w:trPr>
          <w:trHeight w:val="279" w:hRule="atLeast"/>
        </w:trPr>
        <w:tc>
          <w:tcPr>
            <w:tcW w:w="2450" w:type="dxa"/>
            <w:tcBorders>
              <w:top w:val="nil"/>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Loyalty Cards</w:t>
            </w:r>
          </w:p>
        </w:tc>
        <w:tc>
          <w:tcPr>
            <w:tcW w:w="1265" w:type="dxa"/>
            <w:tcBorders>
              <w:top w:val="nil"/>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$360,000 </w:t>
            </w:r>
          </w:p>
        </w:tc>
        <w:tc>
          <w:tcPr>
            <w:tcW w:w="1121"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$432,000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$432,000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$432,000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$432,000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$432,000 </w:t>
            </w:r>
          </w:p>
        </w:tc>
      </w:tr>
      <w:tr>
        <w:tblPrEx>
          <w:tblLayout w:type="fixed"/>
          <w:tblCellMar>
            <w:top w:w="0" w:type="dxa"/>
            <w:left w:w="0" w:type="dxa"/>
            <w:bottom w:w="0" w:type="dxa"/>
            <w:right w:w="0" w:type="dxa"/>
          </w:tblCellMar>
        </w:tblPrEx>
        <w:trPr>
          <w:trHeight w:val="109" w:hRule="atLeast"/>
        </w:trPr>
        <w:tc>
          <w:tcPr>
            <w:tcW w:w="2450" w:type="dxa"/>
            <w:tcBorders>
              <w:top w:val="nil"/>
              <w:left w:val="single" w:color="000000" w:sz="4" w:space="0"/>
              <w:bottom w:val="single" w:color="000000" w:sz="4" w:space="0"/>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Training Materials</w:t>
            </w:r>
          </w:p>
        </w:tc>
        <w:tc>
          <w:tcPr>
            <w:tcW w:w="1265" w:type="dxa"/>
            <w:tcBorders>
              <w:top w:val="nil"/>
              <w:left w:val="single" w:color="000000" w:sz="4" w:space="0"/>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c>
          <w:tcPr>
            <w:tcW w:w="1121"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single" w:color="000000" w:sz="4" w:space="0"/>
              <w:right w:val="single" w:color="000000" w:sz="4" w:space="0"/>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Total Restaurant OPEX</w:t>
            </w:r>
          </w:p>
        </w:tc>
        <w:tc>
          <w:tcPr>
            <w:tcW w:w="1265" w:type="dxa"/>
            <w:tcBorders>
              <w:top w:val="single" w:color="000000" w:sz="4" w:space="0"/>
              <w:left w:val="single" w:color="000000" w:sz="4" w:space="0"/>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$960,000 </w:t>
            </w:r>
          </w:p>
        </w:tc>
        <w:tc>
          <w:tcPr>
            <w:tcW w:w="1121"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$432,000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$432,000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$432,000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$432,000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$432,000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single" w:color="000000" w:sz="4" w:space="0"/>
              <w:right w:val="single" w:color="000000" w:sz="4" w:space="0"/>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Marketing Launch Costs</w:t>
            </w:r>
          </w:p>
        </w:tc>
        <w:tc>
          <w:tcPr>
            <w:tcW w:w="1265" w:type="dxa"/>
            <w:tcBorders>
              <w:top w:val="single" w:color="000000" w:sz="4" w:space="0"/>
              <w:left w:val="single" w:color="000000" w:sz="4" w:space="0"/>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21"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Agency</w:t>
            </w:r>
          </w:p>
        </w:tc>
        <w:tc>
          <w:tcPr>
            <w:tcW w:w="1265" w:type="dxa"/>
            <w:tcBorders>
              <w:top w:val="single" w:color="000000" w:sz="4" w:space="0"/>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$200,000 </w:t>
            </w:r>
          </w:p>
        </w:tc>
        <w:tc>
          <w:tcPr>
            <w:tcW w:w="1121"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$100,000 </w:t>
            </w:r>
          </w:p>
        </w:tc>
      </w:tr>
      <w:tr>
        <w:tblPrEx>
          <w:tblLayout w:type="fixed"/>
          <w:tblCellMar>
            <w:top w:w="0" w:type="dxa"/>
            <w:left w:w="0" w:type="dxa"/>
            <w:bottom w:w="0" w:type="dxa"/>
            <w:right w:w="0" w:type="dxa"/>
          </w:tblCellMar>
        </w:tblPrEx>
        <w:trPr>
          <w:trHeight w:val="177" w:hRule="atLeast"/>
        </w:trPr>
        <w:tc>
          <w:tcPr>
            <w:tcW w:w="2450" w:type="dxa"/>
            <w:tcBorders>
              <w:top w:val="nil"/>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TV/Radio production &amp; Media</w:t>
            </w:r>
          </w:p>
        </w:tc>
        <w:tc>
          <w:tcPr>
            <w:tcW w:w="1265" w:type="dxa"/>
            <w:tcBorders>
              <w:top w:val="nil"/>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$2,000,000 </w:t>
            </w:r>
          </w:p>
        </w:tc>
        <w:tc>
          <w:tcPr>
            <w:tcW w:w="1121"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r>
      <w:tr>
        <w:tblPrEx>
          <w:tblLayout w:type="fixed"/>
          <w:tblCellMar>
            <w:top w:w="0" w:type="dxa"/>
            <w:left w:w="0" w:type="dxa"/>
            <w:bottom w:w="0" w:type="dxa"/>
            <w:right w:w="0" w:type="dxa"/>
          </w:tblCellMar>
        </w:tblPrEx>
        <w:trPr>
          <w:trHeight w:val="177" w:hRule="atLeast"/>
        </w:trPr>
        <w:tc>
          <w:tcPr>
            <w:tcW w:w="2450" w:type="dxa"/>
            <w:tcBorders>
              <w:top w:val="nil"/>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Digital/video Media</w:t>
            </w:r>
          </w:p>
        </w:tc>
        <w:tc>
          <w:tcPr>
            <w:tcW w:w="1265" w:type="dxa"/>
            <w:tcBorders>
              <w:top w:val="nil"/>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$250,000 </w:t>
            </w:r>
          </w:p>
        </w:tc>
        <w:tc>
          <w:tcPr>
            <w:tcW w:w="1121"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r>
      <w:tr>
        <w:tblPrEx>
          <w:tblLayout w:type="fixed"/>
          <w:tblCellMar>
            <w:top w:w="0" w:type="dxa"/>
            <w:left w:w="0" w:type="dxa"/>
            <w:bottom w:w="0" w:type="dxa"/>
            <w:right w:w="0" w:type="dxa"/>
          </w:tblCellMar>
        </w:tblPrEx>
        <w:trPr>
          <w:trHeight w:val="177" w:hRule="atLeast"/>
        </w:trPr>
        <w:tc>
          <w:tcPr>
            <w:tcW w:w="2450" w:type="dxa"/>
            <w:tcBorders>
              <w:top w:val="nil"/>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In-Store T-Shirts</w:t>
            </w:r>
          </w:p>
        </w:tc>
        <w:tc>
          <w:tcPr>
            <w:tcW w:w="1265" w:type="dxa"/>
            <w:tcBorders>
              <w:top w:val="nil"/>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21"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r>
      <w:tr>
        <w:tblPrEx>
          <w:tblLayout w:type="fixed"/>
          <w:tblCellMar>
            <w:top w:w="0" w:type="dxa"/>
            <w:left w:w="0" w:type="dxa"/>
            <w:bottom w:w="0" w:type="dxa"/>
            <w:right w:w="0" w:type="dxa"/>
          </w:tblCellMar>
        </w:tblPrEx>
        <w:trPr>
          <w:trHeight w:val="156" w:hRule="atLeast"/>
        </w:trPr>
        <w:tc>
          <w:tcPr>
            <w:tcW w:w="2450" w:type="dxa"/>
            <w:tcBorders>
              <w:top w:val="nil"/>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Email Vendor</w:t>
            </w:r>
          </w:p>
        </w:tc>
        <w:tc>
          <w:tcPr>
            <w:tcW w:w="1265" w:type="dxa"/>
            <w:tcBorders>
              <w:top w:val="nil"/>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21"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$50,000 </w:t>
            </w:r>
          </w:p>
        </w:tc>
      </w:tr>
      <w:tr>
        <w:tblPrEx>
          <w:tblLayout w:type="fixed"/>
          <w:tblCellMar>
            <w:top w:w="0" w:type="dxa"/>
            <w:left w:w="0" w:type="dxa"/>
            <w:bottom w:w="0" w:type="dxa"/>
            <w:right w:w="0" w:type="dxa"/>
          </w:tblCellMar>
        </w:tblPrEx>
        <w:trPr>
          <w:trHeight w:val="177" w:hRule="atLeast"/>
        </w:trPr>
        <w:tc>
          <w:tcPr>
            <w:tcW w:w="2450" w:type="dxa"/>
            <w:tcBorders>
              <w:top w:val="nil"/>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Digital Offer Targeting</w:t>
            </w:r>
          </w:p>
        </w:tc>
        <w:tc>
          <w:tcPr>
            <w:tcW w:w="1265" w:type="dxa"/>
            <w:tcBorders>
              <w:top w:val="nil"/>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21"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r>
      <w:tr>
        <w:tblPrEx>
          <w:tblLayout w:type="fixed"/>
          <w:tblCellMar>
            <w:top w:w="0" w:type="dxa"/>
            <w:left w:w="0" w:type="dxa"/>
            <w:bottom w:w="0" w:type="dxa"/>
            <w:right w:w="0" w:type="dxa"/>
          </w:tblCellMar>
        </w:tblPrEx>
        <w:trPr>
          <w:trHeight w:val="177" w:hRule="atLeast"/>
        </w:trPr>
        <w:tc>
          <w:tcPr>
            <w:tcW w:w="2450" w:type="dxa"/>
            <w:tcBorders>
              <w:top w:val="nil"/>
              <w:left w:val="single" w:color="000000" w:sz="4" w:space="0"/>
              <w:bottom w:val="single" w:color="000000" w:sz="4" w:space="0"/>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Incremental Brand Marketing Media</w:t>
            </w:r>
          </w:p>
        </w:tc>
        <w:tc>
          <w:tcPr>
            <w:tcW w:w="1265" w:type="dxa"/>
            <w:tcBorders>
              <w:top w:val="nil"/>
              <w:left w:val="single" w:color="000000" w:sz="4" w:space="0"/>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21"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$1,060,000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$1,060,000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$1,060,000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$1,060,000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$1,060,000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single" w:color="000000" w:sz="4" w:space="0"/>
              <w:right w:val="single" w:color="000000" w:sz="4" w:space="0"/>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Total Marketing OPEX</w:t>
            </w:r>
          </w:p>
        </w:tc>
        <w:tc>
          <w:tcPr>
            <w:tcW w:w="1265" w:type="dxa"/>
            <w:tcBorders>
              <w:top w:val="single" w:color="000000" w:sz="4" w:space="0"/>
              <w:left w:val="single" w:color="000000" w:sz="4" w:space="0"/>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$2,970,000 </w:t>
            </w:r>
          </w:p>
        </w:tc>
        <w:tc>
          <w:tcPr>
            <w:tcW w:w="1121"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$1,330,000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$1,330,000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$1,330,000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$1,330,000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$1,330,000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single" w:color="000000" w:sz="4" w:space="0"/>
              <w:right w:val="single" w:color="000000" w:sz="4" w:space="0"/>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Headcount</w:t>
            </w:r>
          </w:p>
        </w:tc>
        <w:tc>
          <w:tcPr>
            <w:tcW w:w="1265" w:type="dxa"/>
            <w:tcBorders>
              <w:top w:val="single" w:color="000000" w:sz="4" w:space="0"/>
              <w:left w:val="single" w:color="000000" w:sz="4" w:space="0"/>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21"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Call Centre (2 ppl)</w:t>
            </w:r>
          </w:p>
        </w:tc>
        <w:tc>
          <w:tcPr>
            <w:tcW w:w="1265" w:type="dxa"/>
            <w:tcBorders>
              <w:top w:val="single" w:color="000000" w:sz="4" w:space="0"/>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21"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r>
      <w:tr>
        <w:tblPrEx>
          <w:tblLayout w:type="fixed"/>
          <w:tblCellMar>
            <w:top w:w="0" w:type="dxa"/>
            <w:left w:w="0" w:type="dxa"/>
            <w:bottom w:w="0" w:type="dxa"/>
            <w:right w:w="0" w:type="dxa"/>
          </w:tblCellMar>
        </w:tblPrEx>
        <w:trPr>
          <w:trHeight w:val="177" w:hRule="atLeast"/>
        </w:trPr>
        <w:tc>
          <w:tcPr>
            <w:tcW w:w="2450" w:type="dxa"/>
            <w:tcBorders>
              <w:top w:val="nil"/>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Loyalty Team (Director, 2 marketing, 2 analysts)</w:t>
            </w:r>
          </w:p>
        </w:tc>
        <w:tc>
          <w:tcPr>
            <w:tcW w:w="1265" w:type="dxa"/>
            <w:tcBorders>
              <w:top w:val="nil"/>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21"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$540,000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$540,000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$540,000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$540,000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$540,000 </w:t>
            </w:r>
          </w:p>
        </w:tc>
      </w:tr>
      <w:tr>
        <w:tblPrEx>
          <w:tblLayout w:type="fixed"/>
          <w:tblCellMar>
            <w:top w:w="0" w:type="dxa"/>
            <w:left w:w="0" w:type="dxa"/>
            <w:bottom w:w="0" w:type="dxa"/>
            <w:right w:w="0" w:type="dxa"/>
          </w:tblCellMar>
        </w:tblPrEx>
        <w:trPr>
          <w:trHeight w:val="177" w:hRule="atLeast"/>
        </w:trPr>
        <w:tc>
          <w:tcPr>
            <w:tcW w:w="2450" w:type="dxa"/>
            <w:tcBorders>
              <w:top w:val="nil"/>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Finance (1 ppl)</w:t>
            </w:r>
          </w:p>
        </w:tc>
        <w:tc>
          <w:tcPr>
            <w:tcW w:w="1265" w:type="dxa"/>
            <w:tcBorders>
              <w:top w:val="nil"/>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21"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nil"/>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r>
      <w:tr>
        <w:tblPrEx>
          <w:tblLayout w:type="fixed"/>
          <w:tblCellMar>
            <w:top w:w="0" w:type="dxa"/>
            <w:left w:w="0" w:type="dxa"/>
            <w:bottom w:w="0" w:type="dxa"/>
            <w:right w:w="0" w:type="dxa"/>
          </w:tblCellMar>
        </w:tblPrEx>
        <w:trPr>
          <w:trHeight w:val="177" w:hRule="atLeast"/>
        </w:trPr>
        <w:tc>
          <w:tcPr>
            <w:tcW w:w="2450" w:type="dxa"/>
            <w:tcBorders>
              <w:top w:val="nil"/>
              <w:left w:val="single" w:color="000000" w:sz="4" w:space="0"/>
              <w:bottom w:val="single" w:color="000000" w:sz="4" w:space="0"/>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IT (1 ppl)</w:t>
            </w:r>
          </w:p>
        </w:tc>
        <w:tc>
          <w:tcPr>
            <w:tcW w:w="1265" w:type="dxa"/>
            <w:tcBorders>
              <w:top w:val="nil"/>
              <w:left w:val="single" w:color="000000" w:sz="4" w:space="0"/>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21"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$120,000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single" w:color="000000" w:sz="4" w:space="0"/>
              <w:right w:val="single" w:color="000000" w:sz="4" w:space="0"/>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Total Headcount OPEX</w:t>
            </w:r>
          </w:p>
        </w:tc>
        <w:tc>
          <w:tcPr>
            <w:tcW w:w="1265" w:type="dxa"/>
            <w:tcBorders>
              <w:top w:val="single" w:color="000000" w:sz="4" w:space="0"/>
              <w:left w:val="single" w:color="000000" w:sz="4" w:space="0"/>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$0 </w:t>
            </w:r>
          </w:p>
        </w:tc>
        <w:tc>
          <w:tcPr>
            <w:tcW w:w="1121"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$900,000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$900,000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$900,000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$900,000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$900,000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nil"/>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b/>
                <w:bCs/>
                <w:sz w:val="24"/>
                <w:szCs w:val="24"/>
              </w:rPr>
              <w:t>Consulting/Other</w:t>
            </w:r>
          </w:p>
        </w:tc>
        <w:tc>
          <w:tcPr>
            <w:tcW w:w="1265" w:type="dxa"/>
            <w:tcBorders>
              <w:top w:val="single" w:color="000000" w:sz="4" w:space="0"/>
              <w:left w:val="single" w:color="000000" w:sz="4" w:space="0"/>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21"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15" w:type="dxa"/>
            <w:tcBorders>
              <w:top w:val="single" w:color="000000" w:sz="4" w:space="0"/>
              <w:left w:val="nil"/>
              <w:bottom w:val="nil"/>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r>
      <w:tr>
        <w:tblPrEx>
          <w:tblLayout w:type="fixed"/>
          <w:tblCellMar>
            <w:top w:w="0" w:type="dxa"/>
            <w:left w:w="0" w:type="dxa"/>
            <w:bottom w:w="0" w:type="dxa"/>
            <w:right w:w="0" w:type="dxa"/>
          </w:tblCellMar>
        </w:tblPrEx>
        <w:trPr>
          <w:trHeight w:val="177" w:hRule="atLeast"/>
        </w:trPr>
        <w:tc>
          <w:tcPr>
            <w:tcW w:w="2450" w:type="dxa"/>
            <w:tcBorders>
              <w:top w:val="nil"/>
              <w:left w:val="single" w:color="000000" w:sz="4" w:space="0"/>
              <w:bottom w:val="single" w:color="000000" w:sz="4" w:space="0"/>
              <w:right w:val="single" w:color="000000" w:sz="4" w:space="0"/>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Professional services </w:t>
            </w:r>
          </w:p>
        </w:tc>
        <w:tc>
          <w:tcPr>
            <w:tcW w:w="1265" w:type="dxa"/>
            <w:tcBorders>
              <w:top w:val="nil"/>
              <w:left w:val="single" w:color="000000" w:sz="4" w:space="0"/>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w:t>
            </w:r>
          </w:p>
        </w:tc>
        <w:tc>
          <w:tcPr>
            <w:tcW w:w="1121"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$150,000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$150,000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$150,000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$150,000 </w:t>
            </w:r>
          </w:p>
        </w:tc>
        <w:tc>
          <w:tcPr>
            <w:tcW w:w="1115" w:type="dxa"/>
            <w:tcBorders>
              <w:top w:val="nil"/>
              <w:left w:val="nil"/>
              <w:bottom w:val="single" w:color="000000" w:sz="4" w:space="0"/>
              <w:right w:val="nil"/>
            </w:tcBorders>
            <w:shd w:val="clear" w:color="auto" w:fill="auto"/>
            <w:tcMar>
              <w:top w:w="9" w:type="dxa"/>
              <w:left w:w="9" w:type="dxa"/>
              <w:bottom w:w="0" w:type="dxa"/>
              <w:right w:w="9" w:type="dxa"/>
            </w:tcMar>
            <w:vAlign w:val="bottom"/>
          </w:tcPr>
          <w:p>
            <w:pPr>
              <w:spacing w:after="0" w:line="240" w:lineRule="auto"/>
              <w:rPr>
                <w:sz w:val="24"/>
                <w:szCs w:val="24"/>
              </w:rPr>
            </w:pPr>
            <w:r>
              <w:rPr>
                <w:sz w:val="24"/>
                <w:szCs w:val="24"/>
              </w:rPr>
              <w:t xml:space="preserve">$150,000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single" w:color="000000" w:sz="4" w:space="0"/>
              <w:right w:val="single" w:color="000000" w:sz="4" w:space="0"/>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Total Consulting OPEX</w:t>
            </w:r>
          </w:p>
        </w:tc>
        <w:tc>
          <w:tcPr>
            <w:tcW w:w="1265" w:type="dxa"/>
            <w:tcBorders>
              <w:top w:val="single" w:color="000000" w:sz="4" w:space="0"/>
              <w:left w:val="single" w:color="000000" w:sz="4" w:space="0"/>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$0 </w:t>
            </w:r>
          </w:p>
        </w:tc>
        <w:tc>
          <w:tcPr>
            <w:tcW w:w="1121"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$150,000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$150,000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$150,000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$150,000 </w:t>
            </w:r>
          </w:p>
        </w:tc>
        <w:tc>
          <w:tcPr>
            <w:tcW w:w="1115" w:type="dxa"/>
            <w:tcBorders>
              <w:top w:val="single" w:color="000000" w:sz="4" w:space="0"/>
              <w:left w:val="nil"/>
              <w:bottom w:val="single" w:color="000000" w:sz="4" w:space="0"/>
              <w:right w:val="nil"/>
            </w:tcBorders>
            <w:shd w:val="clear" w:color="auto" w:fill="D9D9D9"/>
            <w:tcMar>
              <w:top w:w="9" w:type="dxa"/>
              <w:left w:w="9" w:type="dxa"/>
              <w:bottom w:w="0" w:type="dxa"/>
              <w:right w:w="9" w:type="dxa"/>
            </w:tcMar>
            <w:vAlign w:val="bottom"/>
          </w:tcPr>
          <w:p>
            <w:pPr>
              <w:spacing w:after="0" w:line="240" w:lineRule="auto"/>
              <w:rPr>
                <w:sz w:val="24"/>
                <w:szCs w:val="24"/>
              </w:rPr>
            </w:pPr>
            <w:r>
              <w:rPr>
                <w:b/>
                <w:bCs/>
                <w:sz w:val="24"/>
                <w:szCs w:val="24"/>
              </w:rPr>
              <w:t xml:space="preserve">$150,000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single" w:color="000000" w:sz="4" w:space="0"/>
              <w:right w:val="single" w:color="000000" w:sz="4" w:space="0"/>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Total CAPEX</w:t>
            </w:r>
          </w:p>
        </w:tc>
        <w:tc>
          <w:tcPr>
            <w:tcW w:w="1265" w:type="dxa"/>
            <w:tcBorders>
              <w:top w:val="single" w:color="000000" w:sz="4" w:space="0"/>
              <w:left w:val="single" w:color="000000" w:sz="4" w:space="0"/>
              <w:bottom w:val="single" w:color="000000" w:sz="4" w:space="0"/>
              <w:right w:val="nil"/>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 xml:space="preserve">$1,750,000 </w:t>
            </w:r>
          </w:p>
        </w:tc>
        <w:tc>
          <w:tcPr>
            <w:tcW w:w="1121" w:type="dxa"/>
            <w:tcBorders>
              <w:top w:val="single" w:color="000000" w:sz="4" w:space="0"/>
              <w:left w:val="nil"/>
              <w:bottom w:val="single" w:color="000000" w:sz="4" w:space="0"/>
              <w:right w:val="nil"/>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 xml:space="preserve">$0 </w:t>
            </w:r>
          </w:p>
        </w:tc>
        <w:tc>
          <w:tcPr>
            <w:tcW w:w="1115" w:type="dxa"/>
            <w:tcBorders>
              <w:top w:val="single" w:color="000000" w:sz="4" w:space="0"/>
              <w:left w:val="nil"/>
              <w:bottom w:val="single" w:color="000000" w:sz="4" w:space="0"/>
              <w:right w:val="nil"/>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 xml:space="preserve">$0 </w:t>
            </w:r>
          </w:p>
        </w:tc>
        <w:tc>
          <w:tcPr>
            <w:tcW w:w="1115" w:type="dxa"/>
            <w:tcBorders>
              <w:top w:val="single" w:color="000000" w:sz="4" w:space="0"/>
              <w:left w:val="nil"/>
              <w:bottom w:val="single" w:color="000000" w:sz="4" w:space="0"/>
              <w:right w:val="nil"/>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 xml:space="preserve">$0 </w:t>
            </w:r>
          </w:p>
        </w:tc>
        <w:tc>
          <w:tcPr>
            <w:tcW w:w="1115" w:type="dxa"/>
            <w:tcBorders>
              <w:top w:val="single" w:color="000000" w:sz="4" w:space="0"/>
              <w:left w:val="nil"/>
              <w:bottom w:val="single" w:color="000000" w:sz="4" w:space="0"/>
              <w:right w:val="nil"/>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 xml:space="preserve">$0 </w:t>
            </w:r>
          </w:p>
        </w:tc>
        <w:tc>
          <w:tcPr>
            <w:tcW w:w="1115" w:type="dxa"/>
            <w:tcBorders>
              <w:top w:val="single" w:color="000000" w:sz="4" w:space="0"/>
              <w:left w:val="nil"/>
              <w:bottom w:val="single" w:color="000000" w:sz="4" w:space="0"/>
              <w:right w:val="nil"/>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 xml:space="preserve">$0 </w:t>
            </w:r>
          </w:p>
        </w:tc>
      </w:tr>
      <w:tr>
        <w:tblPrEx>
          <w:tblLayout w:type="fixed"/>
          <w:tblCellMar>
            <w:top w:w="0" w:type="dxa"/>
            <w:left w:w="0" w:type="dxa"/>
            <w:bottom w:w="0" w:type="dxa"/>
            <w:right w:w="0" w:type="dxa"/>
          </w:tblCellMar>
        </w:tblPrEx>
        <w:trPr>
          <w:trHeight w:val="177" w:hRule="atLeast"/>
        </w:trPr>
        <w:tc>
          <w:tcPr>
            <w:tcW w:w="2450" w:type="dxa"/>
            <w:tcBorders>
              <w:top w:val="single" w:color="000000" w:sz="4" w:space="0"/>
              <w:left w:val="single" w:color="000000" w:sz="4" w:space="0"/>
              <w:bottom w:val="single" w:color="000000" w:sz="4" w:space="0"/>
              <w:right w:val="single" w:color="000000" w:sz="4" w:space="0"/>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Total OPEX</w:t>
            </w:r>
          </w:p>
        </w:tc>
        <w:tc>
          <w:tcPr>
            <w:tcW w:w="1265" w:type="dxa"/>
            <w:tcBorders>
              <w:top w:val="single" w:color="000000" w:sz="4" w:space="0"/>
              <w:left w:val="single" w:color="000000" w:sz="4" w:space="0"/>
              <w:bottom w:val="single" w:color="000000" w:sz="4" w:space="0"/>
              <w:right w:val="nil"/>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 xml:space="preserve">$3,930,000 </w:t>
            </w:r>
          </w:p>
        </w:tc>
        <w:tc>
          <w:tcPr>
            <w:tcW w:w="1121" w:type="dxa"/>
            <w:tcBorders>
              <w:top w:val="single" w:color="000000" w:sz="4" w:space="0"/>
              <w:left w:val="nil"/>
              <w:bottom w:val="single" w:color="000000" w:sz="4" w:space="0"/>
              <w:right w:val="nil"/>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 xml:space="preserve">$4,862,000 </w:t>
            </w:r>
          </w:p>
        </w:tc>
        <w:tc>
          <w:tcPr>
            <w:tcW w:w="1115" w:type="dxa"/>
            <w:tcBorders>
              <w:top w:val="single" w:color="000000" w:sz="4" w:space="0"/>
              <w:left w:val="nil"/>
              <w:bottom w:val="single" w:color="000000" w:sz="4" w:space="0"/>
              <w:right w:val="nil"/>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 xml:space="preserve">$4,862,000 </w:t>
            </w:r>
          </w:p>
        </w:tc>
        <w:tc>
          <w:tcPr>
            <w:tcW w:w="1115" w:type="dxa"/>
            <w:tcBorders>
              <w:top w:val="single" w:color="000000" w:sz="4" w:space="0"/>
              <w:left w:val="nil"/>
              <w:bottom w:val="single" w:color="000000" w:sz="4" w:space="0"/>
              <w:right w:val="nil"/>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 xml:space="preserve">$4,862,000 </w:t>
            </w:r>
          </w:p>
        </w:tc>
        <w:tc>
          <w:tcPr>
            <w:tcW w:w="1115" w:type="dxa"/>
            <w:tcBorders>
              <w:top w:val="single" w:color="000000" w:sz="4" w:space="0"/>
              <w:left w:val="nil"/>
              <w:bottom w:val="single" w:color="000000" w:sz="4" w:space="0"/>
              <w:right w:val="nil"/>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 xml:space="preserve">$4,862,000 </w:t>
            </w:r>
          </w:p>
        </w:tc>
        <w:tc>
          <w:tcPr>
            <w:tcW w:w="1115" w:type="dxa"/>
            <w:tcBorders>
              <w:top w:val="single" w:color="000000" w:sz="4" w:space="0"/>
              <w:left w:val="nil"/>
              <w:bottom w:val="single" w:color="000000" w:sz="4" w:space="0"/>
              <w:right w:val="nil"/>
            </w:tcBorders>
            <w:shd w:val="clear" w:color="auto" w:fill="BFBFBF"/>
            <w:tcMar>
              <w:top w:w="9" w:type="dxa"/>
              <w:left w:w="9" w:type="dxa"/>
              <w:bottom w:w="0" w:type="dxa"/>
              <w:right w:w="9" w:type="dxa"/>
            </w:tcMar>
            <w:vAlign w:val="bottom"/>
          </w:tcPr>
          <w:p>
            <w:pPr>
              <w:spacing w:after="0" w:line="240" w:lineRule="auto"/>
              <w:rPr>
                <w:sz w:val="24"/>
                <w:szCs w:val="24"/>
              </w:rPr>
            </w:pPr>
            <w:r>
              <w:rPr>
                <w:b/>
                <w:bCs/>
                <w:sz w:val="24"/>
                <w:szCs w:val="24"/>
              </w:rPr>
              <w:t xml:space="preserve">$4,862,000 </w:t>
            </w:r>
          </w:p>
        </w:tc>
      </w:tr>
    </w:tbl>
    <w:p/>
    <w:p>
      <w:pPr>
        <w:pStyle w:val="2"/>
      </w:pPr>
      <w:r>
        <w:br w:type="page"/>
      </w:r>
      <w:bookmarkStart w:id="20" w:name="_Toc3276772"/>
      <w:r>
        <w:t>Operational Workloads</w:t>
      </w:r>
      <w:bookmarkEnd w:id="20"/>
    </w:p>
    <w:p>
      <w:r>
        <w:drawing>
          <wp:inline distT="0" distB="0" distL="0" distR="0">
            <wp:extent cx="5943600" cy="7280910"/>
            <wp:effectExtent l="19050" t="19050" r="19050" b="1524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31"/>
                    <a:srcRect/>
                    <a:stretch>
                      <a:fillRect/>
                    </a:stretch>
                  </pic:blipFill>
                  <pic:spPr>
                    <a:xfrm>
                      <a:off x="0" y="0"/>
                      <a:ext cx="5943600" cy="7280910"/>
                    </a:xfrm>
                    <a:prstGeom prst="rect">
                      <a:avLst/>
                    </a:prstGeom>
                    <a:solidFill>
                      <a:srgbClr val="FFFFFF"/>
                    </a:solidFill>
                    <a:ln w="9525">
                      <a:solidFill>
                        <a:srgbClr val="000000"/>
                      </a:solidFill>
                      <a:miter lim="800000"/>
                      <a:headEnd/>
                      <a:tailEnd/>
                    </a:ln>
                  </pic:spPr>
                </pic:pic>
              </a:graphicData>
            </a:graphic>
          </wp:inline>
        </w:drawing>
      </w:r>
    </w:p>
    <w:p>
      <w:r>
        <w:br w:type="page"/>
      </w:r>
    </w:p>
    <w:p/>
    <w:p>
      <w:pPr>
        <w:pStyle w:val="3"/>
      </w:pPr>
      <w:bookmarkStart w:id="21" w:name="_Toc3276773"/>
      <w:r>
        <w:t>Internal KPI</w:t>
      </w:r>
      <w:bookmarkEnd w:id="21"/>
    </w:p>
    <w:p>
      <w:r>
        <w:t xml:space="preserve">Management dashboards will be included based on data from the internal corporate date. The chart on the follow page is a subset of the data from: </w:t>
      </w:r>
    </w:p>
    <w:p>
      <w:pPr>
        <w:pStyle w:val="26"/>
        <w:numPr>
          <w:ilvl w:val="0"/>
          <w:numId w:val="5"/>
        </w:numPr>
      </w:pPr>
      <w:r>
        <w:t xml:space="preserve">Financial Information, </w:t>
      </w:r>
    </w:p>
    <w:p>
      <w:pPr>
        <w:pStyle w:val="26"/>
        <w:numPr>
          <w:ilvl w:val="0"/>
          <w:numId w:val="5"/>
        </w:numPr>
      </w:pPr>
      <w:r>
        <w:t>Staff Performance</w:t>
      </w:r>
    </w:p>
    <w:p>
      <w:pPr>
        <w:pStyle w:val="26"/>
        <w:numPr>
          <w:ilvl w:val="0"/>
          <w:numId w:val="5"/>
        </w:numPr>
      </w:pPr>
      <w:r>
        <w:t>menu items data</w:t>
      </w:r>
    </w:p>
    <w:p>
      <w:pPr>
        <w:pStyle w:val="26"/>
        <w:numPr>
          <w:ilvl w:val="0"/>
          <w:numId w:val="5"/>
        </w:numPr>
      </w:pPr>
      <w:r>
        <w:t>customer delivery data</w:t>
      </w:r>
    </w:p>
    <w:p>
      <w:pPr>
        <w:rPr>
          <w:lang w:eastAsia="en-CA"/>
        </w:rPr>
      </w:pPr>
      <w:r>
        <w:t>This data will be setup on an automated schedule depending on the data set. The example below will be delivered on a monthly basis. However, different datasets will be delivered on a monthly and daily view to identify and resolve key performance issues as they arise and before they become a larger issue. These can be adjusted on a quarterly basis as part of the ongoing consulting commitment.</w:t>
      </w:r>
      <w:r>
        <w:rPr>
          <w:lang w:eastAsia="en-CA"/>
        </w:rPr>
        <w:t xml:space="preserve"> </w:t>
      </w:r>
    </w:p>
    <w:p>
      <w:bookmarkStart w:id="25" w:name="_GoBack"/>
      <w:r>
        <w:rPr>
          <w:lang w:eastAsia="en-CA"/>
        </w:rPr>
        <w:drawing>
          <wp:inline distT="0" distB="0" distL="0" distR="0">
            <wp:extent cx="4556760" cy="493395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2"/>
                    <a:stretch>
                      <a:fillRect/>
                    </a:stretch>
                  </pic:blipFill>
                  <pic:spPr>
                    <a:xfrm>
                      <a:off x="0" y="0"/>
                      <a:ext cx="4556760" cy="4966264"/>
                    </a:xfrm>
                    <a:prstGeom prst="rect">
                      <a:avLst/>
                    </a:prstGeom>
                  </pic:spPr>
                </pic:pic>
              </a:graphicData>
            </a:graphic>
          </wp:inline>
        </w:drawing>
      </w:r>
      <w:bookmarkEnd w:id="25"/>
    </w:p>
    <w:p>
      <w:pPr>
        <w:rPr>
          <w:sz w:val="20"/>
          <w:szCs w:val="20"/>
        </w:rPr>
      </w:pPr>
      <w:r>
        <w:fldChar w:fldCharType="begin"/>
      </w:r>
      <w:r>
        <w:instrText xml:space="preserve"> HYPERLINK "https://www.smartsheet.com/free-excel-dashboard-templates" </w:instrText>
      </w:r>
      <w:r>
        <w:fldChar w:fldCharType="separate"/>
      </w:r>
      <w:r>
        <w:rPr>
          <w:rStyle w:val="23"/>
          <w:sz w:val="20"/>
          <w:szCs w:val="20"/>
        </w:rPr>
        <w:t>https://www.smartsheet.com/free-excel-dashboard-templates</w:t>
      </w:r>
      <w:r>
        <w:rPr>
          <w:rStyle w:val="23"/>
          <w:sz w:val="20"/>
          <w:szCs w:val="20"/>
        </w:rPr>
        <w:fldChar w:fldCharType="end"/>
      </w:r>
    </w:p>
    <w:p>
      <w:pPr>
        <w:rPr>
          <w:sz w:val="20"/>
          <w:szCs w:val="20"/>
        </w:rPr>
      </w:pPr>
      <w:r>
        <w:rPr>
          <w:sz w:val="20"/>
          <w:szCs w:val="20"/>
        </w:rPr>
        <w:br w:type="page"/>
      </w:r>
    </w:p>
    <w:p>
      <w:pPr>
        <w:pStyle w:val="3"/>
        <w:rPr>
          <w:sz w:val="44"/>
          <w:szCs w:val="44"/>
        </w:rPr>
      </w:pPr>
      <w:bookmarkStart w:id="22" w:name="_Toc3276774"/>
      <w:r>
        <w:rPr>
          <w:shd w:val="clear" w:color="auto" w:fill="FFFFFF"/>
        </w:rPr>
        <w:t>Online/mobile App Ordering and Delivery System</w:t>
      </w:r>
      <w:bookmarkEnd w:id="22"/>
    </w:p>
    <w:p>
      <w:pPr>
        <w:rPr>
          <w:rFonts w:ascii="Arial" w:hAnsi="Arial" w:cs="Arial"/>
          <w:color w:val="222222"/>
        </w:rPr>
      </w:pPr>
    </w:p>
    <w:p>
      <w:pPr>
        <w:pStyle w:val="15"/>
      </w:pPr>
      <w:r>
        <w:t>The demand for online ordering grows among food businesses, so is the need for DVP to find a solution that allows customers to browse their menus from anywhere. What better way to capture customers and potential customers than right where they are which is usually on their mobile devices. A mobile app will provide customers instant access to your menus and be able to make different menu options and selections. Customers will have to option to pick-up or deliveries with various payment options. The mobile app will have tracking system to manage orders and track deliveries. With the launch of a mobile app we need to make sure that the models are built to perfection. Everything needs to function perfectly to ensure that we answer every possible question. With the launch of the mobile app DVP will be creating a branded ordering experience for each customer</w:t>
      </w:r>
    </w:p>
    <w:p>
      <w:pPr>
        <w:pStyle w:val="15"/>
        <w:rPr>
          <w:b/>
        </w:rPr>
      </w:pPr>
      <w:r>
        <w:rPr>
          <w:b/>
        </w:rPr>
        <w:t>Model Considerations for delivery orders</w:t>
      </w:r>
    </w:p>
    <w:p>
      <w:pPr>
        <w:pStyle w:val="15"/>
        <w:numPr>
          <w:ilvl w:val="0"/>
          <w:numId w:val="6"/>
        </w:numPr>
      </w:pPr>
      <w:r>
        <w:t>Who ordered the meal</w:t>
      </w:r>
    </w:p>
    <w:p>
      <w:pPr>
        <w:pStyle w:val="15"/>
        <w:numPr>
          <w:ilvl w:val="0"/>
          <w:numId w:val="6"/>
        </w:numPr>
      </w:pPr>
      <w:r>
        <w:t>Is the order to be picked up at the restaurant</w:t>
      </w:r>
    </w:p>
    <w:p>
      <w:pPr>
        <w:pStyle w:val="15"/>
        <w:numPr>
          <w:ilvl w:val="0"/>
          <w:numId w:val="6"/>
        </w:numPr>
      </w:pPr>
      <w:r>
        <w:t>Where and when the meal should be delivered</w:t>
      </w:r>
    </w:p>
    <w:p>
      <w:pPr>
        <w:pStyle w:val="15"/>
        <w:numPr>
          <w:ilvl w:val="0"/>
          <w:numId w:val="6"/>
        </w:numPr>
      </w:pPr>
      <w:r>
        <w:t>What meals, sides and drinks are included in the order</w:t>
      </w:r>
    </w:p>
    <w:p>
      <w:pPr>
        <w:pStyle w:val="15"/>
        <w:numPr>
          <w:ilvl w:val="0"/>
          <w:numId w:val="6"/>
        </w:numPr>
      </w:pPr>
      <w:r>
        <w:t>What ingredients is needed to fulfill the order</w:t>
      </w:r>
    </w:p>
    <w:p>
      <w:pPr>
        <w:pStyle w:val="15"/>
        <w:numPr>
          <w:ilvl w:val="0"/>
          <w:numId w:val="6"/>
        </w:numPr>
      </w:pPr>
      <w:r>
        <w:rPr>
          <w:sz w:val="19"/>
          <w:szCs w:val="19"/>
        </w:rPr>
        <w:t>If the order has already been paid for</w:t>
      </w:r>
    </w:p>
    <w:p/>
    <w:p>
      <w:pPr>
        <w:pStyle w:val="15"/>
        <w:rPr>
          <w:b/>
        </w:rPr>
      </w:pPr>
      <w:r>
        <w:rPr>
          <w:b/>
        </w:rPr>
        <w:t>Delivery Orders Model Visual</w:t>
      </w:r>
    </w:p>
    <w:p>
      <w:pPr>
        <w:pStyle w:val="15"/>
        <w:rPr>
          <w:rFonts w:hAnsiTheme="majorHAnsi" w:eastAsiaTheme="majorEastAsia" w:cstheme="majorBidi"/>
          <w:color w:val="548235" w:themeColor="accent6" w:themeShade="BF"/>
        </w:rPr>
      </w:pPr>
      <w:r>
        <w:rPr>
          <w:shd w:val="clear" w:color="auto" w:fill="FFFFFF"/>
        </w:rPr>
        <w:t xml:space="preserve">A sample data model Da Vinci’s Pizza illustrating how to organize, manage, and store the restaurant’s delivery orders is shown below. This objective is to allow Da Vinci’s Pizza to track the status of each order while capturing the financial details. </w:t>
      </w:r>
    </w:p>
    <w:p>
      <w:pPr>
        <w:rPr>
          <w:rFonts w:asciiTheme="majorHAnsi" w:hAnsiTheme="majorHAnsi" w:eastAsiaTheme="majorEastAsia" w:cstheme="majorBidi"/>
          <w:color w:val="548235" w:themeColor="accent6" w:themeShade="BF"/>
          <w:sz w:val="28"/>
          <w:szCs w:val="28"/>
        </w:rPr>
      </w:pPr>
      <w:r>
        <w:br w:type="page"/>
      </w:r>
    </w:p>
    <w:p>
      <w:pPr>
        <w:rPr>
          <w:rFonts w:eastAsia="sans-serif"/>
          <w:b/>
          <w:shd w:val="clear" w:color="auto" w:fill="FFFFFF"/>
        </w:rPr>
      </w:pPr>
      <w:r>
        <w:rPr>
          <w:rFonts w:eastAsia="sans-serif"/>
          <w:b/>
          <w:shd w:val="clear" w:color="auto" w:fill="FFFFFF"/>
        </w:rPr>
        <w:t>Customers Model</w:t>
      </w:r>
      <w:r>
        <w:rPr>
          <w:rFonts w:ascii="&amp;quot" w:hAnsi="&amp;quot" w:eastAsia="&amp;quot" w:cs="&amp;quot"/>
          <w:color w:val="444444"/>
          <w:sz w:val="19"/>
          <w:szCs w:val="19"/>
          <w:lang w:eastAsia="en-CA"/>
        </w:rPr>
        <w:drawing>
          <wp:inline distT="0" distB="0" distL="114300" distR="114300">
            <wp:extent cx="5438775" cy="2037080"/>
            <wp:effectExtent l="0" t="0" r="0" b="1270"/>
            <wp:docPr id="40"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7" descr="IMG_256"/>
                    <pic:cNvPicPr>
                      <a:picLocks noChangeAspect="1"/>
                    </pic:cNvPicPr>
                  </pic:nvPicPr>
                  <pic:blipFill>
                    <a:blip r:embed="rId33"/>
                    <a:srcRect b="17235"/>
                    <a:stretch>
                      <a:fillRect/>
                    </a:stretch>
                  </pic:blipFill>
                  <pic:spPr>
                    <a:xfrm>
                      <a:off x="0" y="0"/>
                      <a:ext cx="5453518" cy="2042887"/>
                    </a:xfrm>
                    <a:prstGeom prst="rect">
                      <a:avLst/>
                    </a:prstGeom>
                    <a:noFill/>
                    <a:ln w="9525">
                      <a:noFill/>
                    </a:ln>
                  </pic:spPr>
                </pic:pic>
              </a:graphicData>
            </a:graphic>
          </wp:inline>
        </w:drawing>
      </w:r>
    </w:p>
    <w:p>
      <w:pPr>
        <w:rPr>
          <w:rFonts w:ascii="&amp;quot" w:hAnsi="&amp;quot" w:eastAsia="&amp;quot" w:cs="&amp;quot"/>
          <w:color w:val="444444"/>
          <w:sz w:val="19"/>
          <w:szCs w:val="19"/>
        </w:rPr>
      </w:pPr>
      <w:r>
        <w:rPr>
          <w:rFonts w:eastAsia="&amp;quot"/>
          <w:b/>
        </w:rPr>
        <w:t>Menu Model</w:t>
      </w:r>
    </w:p>
    <w:p>
      <w:pPr>
        <w:rPr>
          <w:rFonts w:eastAsia="&amp;quot"/>
          <w:b/>
        </w:rPr>
      </w:pPr>
      <w:r>
        <w:rPr>
          <w:rFonts w:ascii="&amp;quot" w:hAnsi="&amp;quot" w:eastAsia="&amp;quot" w:cs="&amp;quot"/>
          <w:color w:val="444444"/>
          <w:sz w:val="19"/>
          <w:szCs w:val="19"/>
          <w:lang w:eastAsia="en-CA"/>
        </w:rPr>
        <w:drawing>
          <wp:inline distT="0" distB="0" distL="114300" distR="114300">
            <wp:extent cx="4690745" cy="1651000"/>
            <wp:effectExtent l="0" t="0" r="0" b="6350"/>
            <wp:docPr id="41"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descr="IMG_256"/>
                    <pic:cNvPicPr>
                      <a:picLocks noChangeAspect="1"/>
                    </pic:cNvPicPr>
                  </pic:nvPicPr>
                  <pic:blipFill>
                    <a:blip r:embed="rId34"/>
                    <a:srcRect b="15552"/>
                    <a:stretch>
                      <a:fillRect/>
                    </a:stretch>
                  </pic:blipFill>
                  <pic:spPr>
                    <a:xfrm>
                      <a:off x="0" y="0"/>
                      <a:ext cx="4708986" cy="1657320"/>
                    </a:xfrm>
                    <a:prstGeom prst="rect">
                      <a:avLst/>
                    </a:prstGeom>
                    <a:noFill/>
                    <a:ln w="9525">
                      <a:noFill/>
                    </a:ln>
                  </pic:spPr>
                </pic:pic>
              </a:graphicData>
            </a:graphic>
          </wp:inline>
        </w:drawing>
      </w:r>
    </w:p>
    <w:p>
      <w:pPr>
        <w:rPr>
          <w:rFonts w:ascii="&amp;quot" w:hAnsi="&amp;quot" w:eastAsia="&amp;quot" w:cs="&amp;quot"/>
          <w:color w:val="444444"/>
          <w:sz w:val="19"/>
          <w:szCs w:val="19"/>
        </w:rPr>
      </w:pPr>
      <w:r>
        <w:rPr>
          <w:rFonts w:eastAsia="&amp;quot"/>
          <w:b/>
        </w:rPr>
        <w:t>Orders Model</w:t>
      </w:r>
    </w:p>
    <w:p>
      <w:pPr>
        <w:rPr>
          <w:rFonts w:ascii="&amp;quot" w:eastAsia="&amp;quot" w:hAnsiTheme="majorHAnsi" w:cstheme="majorBidi"/>
          <w:b/>
          <w:color w:val="444444"/>
          <w:sz w:val="19"/>
          <w:szCs w:val="19"/>
        </w:rPr>
      </w:pPr>
      <w:r>
        <w:rPr>
          <w:rFonts w:ascii="&amp;quot" w:hAnsi="&amp;quot" w:eastAsia="&amp;quot" w:cs="&amp;quot"/>
          <w:color w:val="444444"/>
          <w:sz w:val="19"/>
          <w:szCs w:val="19"/>
          <w:lang w:eastAsia="en-CA"/>
        </w:rPr>
        <w:drawing>
          <wp:inline distT="0" distB="0" distL="114300" distR="114300">
            <wp:extent cx="3907790" cy="3327400"/>
            <wp:effectExtent l="0" t="0" r="0" b="6350"/>
            <wp:docPr id="42"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descr="IMG_256"/>
                    <pic:cNvPicPr>
                      <a:picLocks noChangeAspect="1"/>
                    </pic:cNvPicPr>
                  </pic:nvPicPr>
                  <pic:blipFill>
                    <a:blip r:embed="rId35"/>
                    <a:srcRect b="4611"/>
                    <a:stretch>
                      <a:fillRect/>
                    </a:stretch>
                  </pic:blipFill>
                  <pic:spPr>
                    <a:xfrm>
                      <a:off x="0" y="0"/>
                      <a:ext cx="3918927" cy="3336424"/>
                    </a:xfrm>
                    <a:prstGeom prst="rect">
                      <a:avLst/>
                    </a:prstGeom>
                    <a:noFill/>
                    <a:ln w="9525">
                      <a:noFill/>
                    </a:ln>
                  </pic:spPr>
                </pic:pic>
              </a:graphicData>
            </a:graphic>
          </wp:inline>
        </w:drawing>
      </w:r>
      <w:r>
        <w:rPr>
          <w:rFonts w:ascii="&amp;quot" w:hAnsi="&amp;quot" w:eastAsia="&amp;quot" w:cs="&amp;quot"/>
          <w:color w:val="444444"/>
          <w:sz w:val="19"/>
          <w:szCs w:val="19"/>
        </w:rPr>
        <w:br w:type="page"/>
      </w:r>
    </w:p>
    <w:p>
      <w:pPr>
        <w:pStyle w:val="15"/>
      </w:pPr>
      <w:r>
        <w:t>Estimated cost to launch a basic mobile app</w:t>
      </w:r>
    </w:p>
    <w:p>
      <w:pPr>
        <w:shd w:val="clear" w:color="auto" w:fill="FFFFFF"/>
        <w:spacing w:after="0"/>
        <w:rPr>
          <w:rFonts w:hAnsi="SimSun" w:eastAsia="SimSun" w:cs="SimSun"/>
          <w:b/>
          <w:sz w:val="22"/>
          <w:szCs w:val="22"/>
          <w:shd w:val="clear" w:color="auto" w:fill="FFFFFF"/>
          <w:lang w:bidi="ar"/>
        </w:rPr>
      </w:pPr>
    </w:p>
    <w:tbl>
      <w:tblPr>
        <w:tblStyle w:val="25"/>
        <w:tblW w:w="9778" w:type="dxa"/>
        <w:tblCellSpacing w:w="15" w:type="dxa"/>
        <w:tblInd w:w="-15"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2155"/>
        <w:gridCol w:w="934"/>
        <w:gridCol w:w="1206"/>
        <w:gridCol w:w="1086"/>
        <w:gridCol w:w="1275"/>
        <w:gridCol w:w="1019"/>
        <w:gridCol w:w="2103"/>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9718" w:type="dxa"/>
            <w:gridSpan w:val="7"/>
            <w:tcBorders>
              <w:bottom w:val="single" w:color="999999" w:sz="4" w:space="0"/>
            </w:tcBorders>
            <w:shd w:val="clear" w:color="auto" w:fill="auto"/>
            <w:tcMar>
              <w:top w:w="60" w:type="dxa"/>
              <w:left w:w="60" w:type="dxa"/>
              <w:bottom w:w="60" w:type="dxa"/>
              <w:right w:w="60" w:type="dxa"/>
            </w:tcMar>
            <w:vAlign w:val="center"/>
          </w:tcPr>
          <w:p>
            <w:pPr>
              <w:jc w:val="center"/>
              <w:rPr>
                <w:sz w:val="18"/>
                <w:szCs w:val="18"/>
              </w:rPr>
            </w:pPr>
            <w:r>
              <w:rPr>
                <w:rFonts w:hAnsi="SimSun" w:eastAsia="SimSun" w:cs="SimSun"/>
                <w:sz w:val="22"/>
                <w:szCs w:val="22"/>
                <w:lang w:val="en-US" w:eastAsia="zh-CN" w:bidi="ar"/>
              </w:rPr>
              <w:t xml:space="preserve">Ball-park Cost Breakdown for </w:t>
            </w:r>
            <w:r>
              <w:rPr>
                <w:rFonts w:hAnsi="SimSun" w:eastAsia="SimSun" w:cs="SimSun"/>
                <w:b/>
                <w:sz w:val="22"/>
                <w:szCs w:val="22"/>
                <w:lang w:val="en-US" w:eastAsia="zh-CN" w:bidi="ar"/>
              </w:rPr>
              <w:t>Native App Development: Android &amp; iPhone</w:t>
            </w:r>
            <w:r>
              <w:rPr>
                <w:rFonts w:hAnsi="SimSun" w:eastAsia="SimSun" w:cs="SimSun"/>
                <w:sz w:val="22"/>
                <w:szCs w:val="22"/>
                <w:lang w:val="en-US" w:eastAsia="zh-CN" w:bidi="ar"/>
              </w:rPr>
              <w:t xml:space="preserve">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1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Project</w:t>
            </w:r>
          </w:p>
        </w:tc>
        <w:tc>
          <w:tcPr>
            <w:tcW w:w="904"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Small MVP</w:t>
            </w:r>
          </w:p>
        </w:tc>
        <w:tc>
          <w:tcPr>
            <w:tcW w:w="117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Small Enterprise</w:t>
            </w:r>
          </w:p>
        </w:tc>
        <w:tc>
          <w:tcPr>
            <w:tcW w:w="105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Medium MVP</w:t>
            </w:r>
          </w:p>
        </w:tc>
        <w:tc>
          <w:tcPr>
            <w:tcW w:w="124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Medium Enterprise</w:t>
            </w:r>
          </w:p>
        </w:tc>
        <w:tc>
          <w:tcPr>
            <w:tcW w:w="989"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Large MVP</w:t>
            </w:r>
          </w:p>
        </w:tc>
        <w:tc>
          <w:tcPr>
            <w:tcW w:w="205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Large Enterprise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1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Discovery and Wireframing</w:t>
            </w:r>
          </w:p>
        </w:tc>
        <w:tc>
          <w:tcPr>
            <w:tcW w:w="904"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$1,500</w:t>
            </w:r>
          </w:p>
        </w:tc>
        <w:tc>
          <w:tcPr>
            <w:tcW w:w="117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$2,500</w:t>
            </w:r>
          </w:p>
        </w:tc>
        <w:tc>
          <w:tcPr>
            <w:tcW w:w="105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$2,500</w:t>
            </w:r>
          </w:p>
        </w:tc>
        <w:tc>
          <w:tcPr>
            <w:tcW w:w="124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$3,500</w:t>
            </w:r>
          </w:p>
        </w:tc>
        <w:tc>
          <w:tcPr>
            <w:tcW w:w="989"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$5,000</w:t>
            </w:r>
          </w:p>
        </w:tc>
        <w:tc>
          <w:tcPr>
            <w:tcW w:w="205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1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App Screen Designs</w:t>
            </w:r>
          </w:p>
        </w:tc>
        <w:tc>
          <w:tcPr>
            <w:tcW w:w="904"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$2,000</w:t>
            </w:r>
          </w:p>
        </w:tc>
        <w:tc>
          <w:tcPr>
            <w:tcW w:w="117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$3,000</w:t>
            </w:r>
          </w:p>
        </w:tc>
        <w:tc>
          <w:tcPr>
            <w:tcW w:w="105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$3,500</w:t>
            </w:r>
          </w:p>
        </w:tc>
        <w:tc>
          <w:tcPr>
            <w:tcW w:w="124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$5,000</w:t>
            </w:r>
          </w:p>
        </w:tc>
        <w:tc>
          <w:tcPr>
            <w:tcW w:w="989"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$5,000</w:t>
            </w:r>
          </w:p>
        </w:tc>
        <w:tc>
          <w:tcPr>
            <w:tcW w:w="205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1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iOS native development</w:t>
            </w:r>
          </w:p>
        </w:tc>
        <w:tc>
          <w:tcPr>
            <w:tcW w:w="904"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w:t>
            </w:r>
          </w:p>
        </w:tc>
        <w:tc>
          <w:tcPr>
            <w:tcW w:w="117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$11,000</w:t>
            </w:r>
          </w:p>
        </w:tc>
        <w:tc>
          <w:tcPr>
            <w:tcW w:w="105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$37,000</w:t>
            </w:r>
          </w:p>
        </w:tc>
        <w:tc>
          <w:tcPr>
            <w:tcW w:w="124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$45,000</w:t>
            </w:r>
          </w:p>
        </w:tc>
        <w:tc>
          <w:tcPr>
            <w:tcW w:w="989"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$60,000</w:t>
            </w:r>
          </w:p>
        </w:tc>
        <w:tc>
          <w:tcPr>
            <w:tcW w:w="205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1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Android native development</w:t>
            </w:r>
          </w:p>
        </w:tc>
        <w:tc>
          <w:tcPr>
            <w:tcW w:w="904"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w:t>
            </w:r>
          </w:p>
        </w:tc>
        <w:tc>
          <w:tcPr>
            <w:tcW w:w="117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$11,000</w:t>
            </w:r>
          </w:p>
        </w:tc>
        <w:tc>
          <w:tcPr>
            <w:tcW w:w="105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$37,000</w:t>
            </w:r>
          </w:p>
        </w:tc>
        <w:tc>
          <w:tcPr>
            <w:tcW w:w="124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$45,000</w:t>
            </w:r>
          </w:p>
        </w:tc>
        <w:tc>
          <w:tcPr>
            <w:tcW w:w="989"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$60,000</w:t>
            </w:r>
          </w:p>
        </w:tc>
        <w:tc>
          <w:tcPr>
            <w:tcW w:w="205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1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Back-end Programing, Database and APIs</w:t>
            </w:r>
          </w:p>
        </w:tc>
        <w:tc>
          <w:tcPr>
            <w:tcW w:w="904"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$5,000</w:t>
            </w:r>
          </w:p>
        </w:tc>
        <w:tc>
          <w:tcPr>
            <w:tcW w:w="117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$7,000</w:t>
            </w:r>
          </w:p>
        </w:tc>
        <w:tc>
          <w:tcPr>
            <w:tcW w:w="105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w:t>
            </w:r>
          </w:p>
        </w:tc>
        <w:tc>
          <w:tcPr>
            <w:tcW w:w="124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$10,000</w:t>
            </w:r>
          </w:p>
        </w:tc>
        <w:tc>
          <w:tcPr>
            <w:tcW w:w="989"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$12,000</w:t>
            </w:r>
          </w:p>
        </w:tc>
        <w:tc>
          <w:tcPr>
            <w:tcW w:w="205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$12,000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1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 xml:space="preserve">Application Administration </w:t>
            </w:r>
          </w:p>
        </w:tc>
        <w:tc>
          <w:tcPr>
            <w:tcW w:w="904"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N/A</w:t>
            </w:r>
          </w:p>
        </w:tc>
        <w:tc>
          <w:tcPr>
            <w:tcW w:w="117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$7,500</w:t>
            </w:r>
          </w:p>
        </w:tc>
        <w:tc>
          <w:tcPr>
            <w:tcW w:w="105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w:t>
            </w:r>
          </w:p>
        </w:tc>
        <w:tc>
          <w:tcPr>
            <w:tcW w:w="124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$15,000</w:t>
            </w:r>
          </w:p>
        </w:tc>
        <w:tc>
          <w:tcPr>
            <w:tcW w:w="989"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$10,000</w:t>
            </w:r>
          </w:p>
        </w:tc>
        <w:tc>
          <w:tcPr>
            <w:tcW w:w="205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$20,000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1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 xml:space="preserve">Quality Assurance and Refinements iOS </w:t>
            </w:r>
          </w:p>
        </w:tc>
        <w:tc>
          <w:tcPr>
            <w:tcW w:w="904"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$2,000</w:t>
            </w:r>
          </w:p>
        </w:tc>
        <w:tc>
          <w:tcPr>
            <w:tcW w:w="117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$2,500</w:t>
            </w:r>
          </w:p>
        </w:tc>
        <w:tc>
          <w:tcPr>
            <w:tcW w:w="105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$5,000</w:t>
            </w:r>
          </w:p>
        </w:tc>
        <w:tc>
          <w:tcPr>
            <w:tcW w:w="124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$6,500</w:t>
            </w:r>
          </w:p>
        </w:tc>
        <w:tc>
          <w:tcPr>
            <w:tcW w:w="989"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$7,000</w:t>
            </w:r>
          </w:p>
        </w:tc>
        <w:tc>
          <w:tcPr>
            <w:tcW w:w="205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1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 xml:space="preserve">Quality Assurance and Refinements Android </w:t>
            </w:r>
          </w:p>
        </w:tc>
        <w:tc>
          <w:tcPr>
            <w:tcW w:w="904"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$2,000</w:t>
            </w:r>
          </w:p>
        </w:tc>
        <w:tc>
          <w:tcPr>
            <w:tcW w:w="117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$2,500</w:t>
            </w:r>
          </w:p>
        </w:tc>
        <w:tc>
          <w:tcPr>
            <w:tcW w:w="105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$5,000</w:t>
            </w:r>
          </w:p>
        </w:tc>
        <w:tc>
          <w:tcPr>
            <w:tcW w:w="124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$6,500</w:t>
            </w:r>
          </w:p>
        </w:tc>
        <w:tc>
          <w:tcPr>
            <w:tcW w:w="989"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$7,000</w:t>
            </w:r>
          </w:p>
        </w:tc>
        <w:tc>
          <w:tcPr>
            <w:tcW w:w="205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1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 xml:space="preserve">Deployment and Cloud </w:t>
            </w:r>
          </w:p>
        </w:tc>
        <w:tc>
          <w:tcPr>
            <w:tcW w:w="904"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$1,500</w:t>
            </w:r>
          </w:p>
        </w:tc>
        <w:tc>
          <w:tcPr>
            <w:tcW w:w="117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$2,000</w:t>
            </w:r>
          </w:p>
        </w:tc>
        <w:tc>
          <w:tcPr>
            <w:tcW w:w="105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$2,000</w:t>
            </w:r>
          </w:p>
        </w:tc>
        <w:tc>
          <w:tcPr>
            <w:tcW w:w="124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$3,000</w:t>
            </w:r>
          </w:p>
        </w:tc>
        <w:tc>
          <w:tcPr>
            <w:tcW w:w="989"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$2,000</w:t>
            </w:r>
          </w:p>
        </w:tc>
        <w:tc>
          <w:tcPr>
            <w:tcW w:w="205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1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b/>
                <w:sz w:val="22"/>
                <w:szCs w:val="22"/>
                <w:lang w:val="en-US" w:eastAsia="zh-CN" w:bidi="ar"/>
              </w:rPr>
              <w:t>Total (One Platform)</w:t>
            </w:r>
          </w:p>
        </w:tc>
        <w:tc>
          <w:tcPr>
            <w:tcW w:w="904"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 xml:space="preserve">$21,000 </w:t>
            </w:r>
          </w:p>
        </w:tc>
        <w:tc>
          <w:tcPr>
            <w:tcW w:w="117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$35,500</w:t>
            </w:r>
          </w:p>
        </w:tc>
        <w:tc>
          <w:tcPr>
            <w:tcW w:w="105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$68,000</w:t>
            </w:r>
          </w:p>
        </w:tc>
        <w:tc>
          <w:tcPr>
            <w:tcW w:w="124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$81,000</w:t>
            </w:r>
          </w:p>
        </w:tc>
        <w:tc>
          <w:tcPr>
            <w:tcW w:w="989"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$101,000</w:t>
            </w:r>
          </w:p>
        </w:tc>
        <w:tc>
          <w:tcPr>
            <w:tcW w:w="205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$152,000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1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b/>
                <w:sz w:val="22"/>
                <w:szCs w:val="22"/>
                <w:lang w:val="en-US" w:eastAsia="zh-CN" w:bidi="ar"/>
              </w:rPr>
              <w:t>Total (Android and iPhone)</w:t>
            </w:r>
          </w:p>
        </w:tc>
        <w:tc>
          <w:tcPr>
            <w:tcW w:w="904"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 xml:space="preserve">$32,000 </w:t>
            </w:r>
          </w:p>
        </w:tc>
        <w:tc>
          <w:tcPr>
            <w:tcW w:w="117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$49,000</w:t>
            </w:r>
          </w:p>
        </w:tc>
        <w:tc>
          <w:tcPr>
            <w:tcW w:w="1056"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$110,000</w:t>
            </w:r>
          </w:p>
        </w:tc>
        <w:tc>
          <w:tcPr>
            <w:tcW w:w="124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$125,500</w:t>
            </w:r>
          </w:p>
        </w:tc>
        <w:tc>
          <w:tcPr>
            <w:tcW w:w="989"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$168,000</w:t>
            </w:r>
          </w:p>
        </w:tc>
        <w:tc>
          <w:tcPr>
            <w:tcW w:w="205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$251,000</w:t>
            </w:r>
          </w:p>
        </w:tc>
      </w:tr>
    </w:tbl>
    <w:p>
      <w:pPr>
        <w:spacing w:after="0"/>
        <w:rPr>
          <w:sz w:val="18"/>
          <w:szCs w:val="18"/>
        </w:rPr>
      </w:pPr>
    </w:p>
    <w:p>
      <w:pPr>
        <w:spacing w:after="0"/>
        <w:rPr>
          <w:b/>
          <w:bCs/>
          <w:color w:val="2E75B6" w:themeColor="accent1" w:themeShade="BF"/>
          <w:sz w:val="24"/>
          <w:szCs w:val="24"/>
          <w:u w:val="single"/>
        </w:rPr>
      </w:pPr>
    </w:p>
    <w:p>
      <w:pPr>
        <w:pStyle w:val="15"/>
        <w:rPr>
          <w:b/>
        </w:rPr>
      </w:pPr>
      <w:r>
        <w:rPr>
          <w:b/>
        </w:rPr>
        <w:t>Costs Breakdown for a hybrid app development</w:t>
      </w:r>
    </w:p>
    <w:p>
      <w:pPr>
        <w:spacing w:after="0"/>
        <w:rPr>
          <w:b/>
          <w:bCs/>
          <w:color w:val="2E75B6" w:themeColor="accent1" w:themeShade="BF"/>
          <w:sz w:val="24"/>
          <w:szCs w:val="24"/>
        </w:rPr>
      </w:pPr>
    </w:p>
    <w:tbl>
      <w:tblPr>
        <w:tblStyle w:val="25"/>
        <w:tblW w:w="9776" w:type="dxa"/>
        <w:tblCellSpacing w:w="15" w:type="dxa"/>
        <w:tblInd w:w="-15"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2202"/>
        <w:gridCol w:w="922"/>
        <w:gridCol w:w="1180"/>
        <w:gridCol w:w="1002"/>
        <w:gridCol w:w="1235"/>
        <w:gridCol w:w="1012"/>
        <w:gridCol w:w="2223"/>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9716" w:type="dxa"/>
            <w:gridSpan w:val="7"/>
            <w:tcBorders>
              <w:bottom w:val="single" w:color="999999" w:sz="4" w:space="0"/>
            </w:tcBorders>
            <w:shd w:val="clear" w:color="auto" w:fill="auto"/>
            <w:tcMar>
              <w:top w:w="60" w:type="dxa"/>
              <w:left w:w="60" w:type="dxa"/>
              <w:bottom w:w="60" w:type="dxa"/>
              <w:right w:w="60" w:type="dxa"/>
            </w:tcMar>
            <w:vAlign w:val="center"/>
          </w:tcPr>
          <w:p>
            <w:pPr>
              <w:jc w:val="center"/>
              <w:rPr>
                <w:sz w:val="18"/>
                <w:szCs w:val="18"/>
              </w:rPr>
            </w:pPr>
            <w:r>
              <w:rPr>
                <w:rFonts w:hAnsi="SimSun" w:eastAsia="SimSun" w:cs="SimSun"/>
                <w:sz w:val="22"/>
                <w:szCs w:val="22"/>
                <w:lang w:val="en-US" w:eastAsia="zh-CN" w:bidi="ar"/>
              </w:rPr>
              <w:t xml:space="preserve">Ball-park Cost Breakdown for </w:t>
            </w:r>
            <w:r>
              <w:rPr>
                <w:rFonts w:hAnsi="SimSun" w:eastAsia="SimSun" w:cs="SimSun"/>
                <w:b/>
                <w:sz w:val="22"/>
                <w:szCs w:val="22"/>
                <w:lang w:val="en-US" w:eastAsia="zh-CN" w:bidi="ar"/>
              </w:rPr>
              <w:t>Hybrid App Development: Android &amp; iPhone</w:t>
            </w:r>
            <w:r>
              <w:rPr>
                <w:rFonts w:hAnsi="SimSun" w:eastAsia="SimSun" w:cs="SimSun"/>
                <w:sz w:val="22"/>
                <w:szCs w:val="22"/>
                <w:lang w:val="en-US" w:eastAsia="zh-CN" w:bidi="ar"/>
              </w:rPr>
              <w:t xml:space="preserve">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57"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Project</w:t>
            </w:r>
          </w:p>
        </w:tc>
        <w:tc>
          <w:tcPr>
            <w:tcW w:w="89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Small MVP</w:t>
            </w:r>
          </w:p>
        </w:tc>
        <w:tc>
          <w:tcPr>
            <w:tcW w:w="115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Small Enterprise</w:t>
            </w:r>
          </w:p>
        </w:tc>
        <w:tc>
          <w:tcPr>
            <w:tcW w:w="97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Medium MVP</w:t>
            </w:r>
          </w:p>
        </w:tc>
        <w:tc>
          <w:tcPr>
            <w:tcW w:w="120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Medium Enterprise</w:t>
            </w:r>
          </w:p>
        </w:tc>
        <w:tc>
          <w:tcPr>
            <w:tcW w:w="98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Large MVP</w:t>
            </w:r>
          </w:p>
        </w:tc>
        <w:tc>
          <w:tcPr>
            <w:tcW w:w="217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Large Enterprise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57"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Discovery and Wireframing</w:t>
            </w:r>
          </w:p>
        </w:tc>
        <w:tc>
          <w:tcPr>
            <w:tcW w:w="89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$1,500</w:t>
            </w:r>
          </w:p>
        </w:tc>
        <w:tc>
          <w:tcPr>
            <w:tcW w:w="115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$2,500</w:t>
            </w:r>
          </w:p>
        </w:tc>
        <w:tc>
          <w:tcPr>
            <w:tcW w:w="97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$2,500</w:t>
            </w:r>
          </w:p>
        </w:tc>
        <w:tc>
          <w:tcPr>
            <w:tcW w:w="120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$3,500</w:t>
            </w:r>
          </w:p>
        </w:tc>
        <w:tc>
          <w:tcPr>
            <w:tcW w:w="98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$5,000</w:t>
            </w:r>
          </w:p>
        </w:tc>
        <w:tc>
          <w:tcPr>
            <w:tcW w:w="217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$7,500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57"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App Screen Designs</w:t>
            </w:r>
          </w:p>
        </w:tc>
        <w:tc>
          <w:tcPr>
            <w:tcW w:w="89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$2,000</w:t>
            </w:r>
          </w:p>
        </w:tc>
        <w:tc>
          <w:tcPr>
            <w:tcW w:w="115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$3,000</w:t>
            </w:r>
          </w:p>
        </w:tc>
        <w:tc>
          <w:tcPr>
            <w:tcW w:w="97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$3,500</w:t>
            </w:r>
          </w:p>
        </w:tc>
        <w:tc>
          <w:tcPr>
            <w:tcW w:w="120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$6,000</w:t>
            </w:r>
          </w:p>
        </w:tc>
        <w:tc>
          <w:tcPr>
            <w:tcW w:w="98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$5,000</w:t>
            </w:r>
          </w:p>
        </w:tc>
        <w:tc>
          <w:tcPr>
            <w:tcW w:w="217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57"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Hybrid App Development using PhoneGap technology</w:t>
            </w:r>
          </w:p>
        </w:tc>
        <w:tc>
          <w:tcPr>
            <w:tcW w:w="89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$10,000</w:t>
            </w:r>
          </w:p>
        </w:tc>
        <w:tc>
          <w:tcPr>
            <w:tcW w:w="115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$12,000</w:t>
            </w:r>
          </w:p>
        </w:tc>
        <w:tc>
          <w:tcPr>
            <w:tcW w:w="97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$38,000</w:t>
            </w:r>
          </w:p>
        </w:tc>
        <w:tc>
          <w:tcPr>
            <w:tcW w:w="120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$45,000</w:t>
            </w:r>
          </w:p>
        </w:tc>
        <w:tc>
          <w:tcPr>
            <w:tcW w:w="98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$65,000</w:t>
            </w:r>
          </w:p>
        </w:tc>
        <w:tc>
          <w:tcPr>
            <w:tcW w:w="217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$100,000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57"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Back-end Programing, Database and APIs</w:t>
            </w:r>
          </w:p>
        </w:tc>
        <w:tc>
          <w:tcPr>
            <w:tcW w:w="89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$5,000</w:t>
            </w:r>
          </w:p>
        </w:tc>
        <w:tc>
          <w:tcPr>
            <w:tcW w:w="115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$7,000</w:t>
            </w:r>
          </w:p>
        </w:tc>
        <w:tc>
          <w:tcPr>
            <w:tcW w:w="97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w:t>
            </w:r>
          </w:p>
        </w:tc>
        <w:tc>
          <w:tcPr>
            <w:tcW w:w="120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$10,000</w:t>
            </w:r>
          </w:p>
        </w:tc>
        <w:tc>
          <w:tcPr>
            <w:tcW w:w="98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$12,000</w:t>
            </w:r>
          </w:p>
        </w:tc>
        <w:tc>
          <w:tcPr>
            <w:tcW w:w="217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$12,000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57"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 xml:space="preserve">Application Administration </w:t>
            </w:r>
          </w:p>
        </w:tc>
        <w:tc>
          <w:tcPr>
            <w:tcW w:w="89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N/A</w:t>
            </w:r>
          </w:p>
        </w:tc>
        <w:tc>
          <w:tcPr>
            <w:tcW w:w="115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$7,500</w:t>
            </w:r>
          </w:p>
        </w:tc>
        <w:tc>
          <w:tcPr>
            <w:tcW w:w="97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w:t>
            </w:r>
          </w:p>
        </w:tc>
        <w:tc>
          <w:tcPr>
            <w:tcW w:w="120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$15,000</w:t>
            </w:r>
          </w:p>
        </w:tc>
        <w:tc>
          <w:tcPr>
            <w:tcW w:w="98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$10,000</w:t>
            </w:r>
          </w:p>
        </w:tc>
        <w:tc>
          <w:tcPr>
            <w:tcW w:w="217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$20,000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57"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 xml:space="preserve">Quality Assurance and Refinements </w:t>
            </w:r>
          </w:p>
        </w:tc>
        <w:tc>
          <w:tcPr>
            <w:tcW w:w="89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$2,000</w:t>
            </w:r>
          </w:p>
        </w:tc>
        <w:tc>
          <w:tcPr>
            <w:tcW w:w="115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$4,000</w:t>
            </w:r>
          </w:p>
        </w:tc>
        <w:tc>
          <w:tcPr>
            <w:tcW w:w="97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$5,000</w:t>
            </w:r>
          </w:p>
        </w:tc>
        <w:tc>
          <w:tcPr>
            <w:tcW w:w="120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$7,000</w:t>
            </w:r>
          </w:p>
        </w:tc>
        <w:tc>
          <w:tcPr>
            <w:tcW w:w="98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$9,000</w:t>
            </w:r>
          </w:p>
        </w:tc>
        <w:tc>
          <w:tcPr>
            <w:tcW w:w="217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$11,000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57"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 xml:space="preserve">Deployment and Cloud </w:t>
            </w:r>
          </w:p>
        </w:tc>
        <w:tc>
          <w:tcPr>
            <w:tcW w:w="89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$1,500</w:t>
            </w:r>
          </w:p>
        </w:tc>
        <w:tc>
          <w:tcPr>
            <w:tcW w:w="115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$2,500</w:t>
            </w:r>
          </w:p>
        </w:tc>
        <w:tc>
          <w:tcPr>
            <w:tcW w:w="97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$2,000</w:t>
            </w:r>
          </w:p>
        </w:tc>
        <w:tc>
          <w:tcPr>
            <w:tcW w:w="120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$3,000</w:t>
            </w:r>
          </w:p>
        </w:tc>
        <w:tc>
          <w:tcPr>
            <w:tcW w:w="98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$2,000</w:t>
            </w:r>
          </w:p>
        </w:tc>
        <w:tc>
          <w:tcPr>
            <w:tcW w:w="217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$3,000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2157"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bCs/>
                <w:sz w:val="22"/>
                <w:szCs w:val="22"/>
                <w:lang w:val="en-US" w:eastAsia="zh-CN" w:bidi="ar"/>
              </w:rPr>
              <w:t>Total (Android &amp; iPhone)</w:t>
            </w:r>
          </w:p>
        </w:tc>
        <w:tc>
          <w:tcPr>
            <w:tcW w:w="89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$22,000</w:t>
            </w:r>
          </w:p>
        </w:tc>
        <w:tc>
          <w:tcPr>
            <w:tcW w:w="1150"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$38,500</w:t>
            </w:r>
          </w:p>
        </w:tc>
        <w:tc>
          <w:tcPr>
            <w:tcW w:w="97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$69,000</w:t>
            </w:r>
          </w:p>
        </w:tc>
        <w:tc>
          <w:tcPr>
            <w:tcW w:w="1205"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$89,500</w:t>
            </w:r>
          </w:p>
        </w:tc>
        <w:tc>
          <w:tcPr>
            <w:tcW w:w="982"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$108,000</w:t>
            </w:r>
          </w:p>
        </w:tc>
        <w:tc>
          <w:tcPr>
            <w:tcW w:w="2178" w:type="dxa"/>
            <w:tcBorders>
              <w:bottom w:val="single" w:color="999999" w:sz="4" w:space="0"/>
            </w:tcBorders>
            <w:shd w:val="clear" w:color="auto" w:fill="auto"/>
            <w:tcMar>
              <w:top w:w="60" w:type="dxa"/>
              <w:left w:w="60" w:type="dxa"/>
              <w:bottom w:w="60" w:type="dxa"/>
              <w:right w:w="60" w:type="dxa"/>
            </w:tcMar>
            <w:vAlign w:val="center"/>
          </w:tcPr>
          <w:p>
            <w:pPr>
              <w:rPr>
                <w:sz w:val="18"/>
                <w:szCs w:val="18"/>
              </w:rPr>
            </w:pPr>
            <w:r>
              <w:rPr>
                <w:rFonts w:hAnsi="SimSun" w:eastAsia="SimSun" w:cs="SimSun"/>
                <w:sz w:val="22"/>
                <w:szCs w:val="22"/>
                <w:lang w:val="en-US" w:eastAsia="zh-CN" w:bidi="ar"/>
              </w:rPr>
              <w:t>$162,500</w:t>
            </w:r>
          </w:p>
        </w:tc>
      </w:tr>
    </w:tbl>
    <w:p>
      <w:pPr>
        <w:rPr>
          <w:rFonts w:ascii="&amp;quot" w:hAnsi="&amp;quot" w:eastAsia="&amp;quot" w:cs="&amp;quot"/>
          <w:color w:val="444444"/>
          <w:sz w:val="19"/>
          <w:szCs w:val="19"/>
        </w:rPr>
      </w:pPr>
    </w:p>
    <w:p>
      <w:r>
        <w:br w:type="page"/>
      </w:r>
    </w:p>
    <w:p>
      <w:pPr>
        <w:pStyle w:val="2"/>
      </w:pPr>
      <w:bookmarkStart w:id="23" w:name="_Toc3276775"/>
      <w:r>
        <w:t>Summary</w:t>
      </w:r>
      <w:bookmarkEnd w:id="23"/>
    </w:p>
    <w:p>
      <w:r>
        <w:t>SM2R2 Consulting Group has identified several analytic opportunities for Da Vinci’s Pizza to grow using both internal and external data sources. The Microsoft Azure platform is a stable and secure platform to scale the data as needed. Our solution will assist with cost optimization, regulatory compliance and improve the overall customer experience. This strategy will help facilitate DaVinci’s strategic growth initiative.</w:t>
      </w:r>
    </w:p>
    <w:p/>
    <w:p>
      <w:pPr>
        <w:pStyle w:val="2"/>
      </w:pPr>
      <w:bookmarkStart w:id="24" w:name="_Toc3276776"/>
      <w:r>
        <w:t>Peer Review</w:t>
      </w:r>
      <w:bookmarkEnd w:id="24"/>
    </w:p>
    <w:tbl>
      <w:tblPr>
        <w:tblStyle w:val="25"/>
        <w:tblW w:w="3694" w:type="dxa"/>
        <w:tblInd w:w="0" w:type="dxa"/>
        <w:tblLayout w:type="fixed"/>
        <w:tblCellMar>
          <w:top w:w="0" w:type="dxa"/>
          <w:left w:w="0" w:type="dxa"/>
          <w:bottom w:w="0" w:type="dxa"/>
          <w:right w:w="0" w:type="dxa"/>
        </w:tblCellMar>
      </w:tblPr>
      <w:tblGrid>
        <w:gridCol w:w="828"/>
        <w:gridCol w:w="2866"/>
      </w:tblGrid>
      <w:tr>
        <w:tblPrEx>
          <w:tblLayout w:type="fixed"/>
          <w:tblCellMar>
            <w:top w:w="0" w:type="dxa"/>
            <w:left w:w="0" w:type="dxa"/>
            <w:bottom w:w="0" w:type="dxa"/>
            <w:right w:w="0" w:type="dxa"/>
          </w:tblCellMar>
        </w:tblPrEx>
        <w:trPr>
          <w:trHeight w:val="315" w:hRule="atLeast"/>
        </w:trPr>
        <w:tc>
          <w:tcPr>
            <w:tcW w:w="828" w:type="dxa"/>
            <w:tcBorders>
              <w:top w:val="single" w:color="000000" w:sz="6" w:space="0"/>
              <w:left w:val="single" w:color="000000" w:sz="6" w:space="0"/>
              <w:bottom w:val="single" w:color="000000" w:sz="6" w:space="0"/>
              <w:right w:val="single" w:color="000000" w:sz="6" w:space="0"/>
            </w:tcBorders>
            <w:tcMar>
              <w:top w:w="30" w:type="dxa"/>
              <w:left w:w="45" w:type="dxa"/>
              <w:bottom w:w="30" w:type="dxa"/>
              <w:right w:w="45" w:type="dxa"/>
            </w:tcMar>
            <w:vAlign w:val="bottom"/>
          </w:tcPr>
          <w:p>
            <w:pPr>
              <w:spacing w:after="0" w:line="240" w:lineRule="auto"/>
              <w:jc w:val="center"/>
              <w:rPr>
                <w:rFonts w:ascii="Calibri" w:hAnsi="Calibri" w:eastAsia="Times New Roman" w:cs="Calibri"/>
                <w:b/>
                <w:bCs/>
                <w:color w:val="000000"/>
                <w:sz w:val="22"/>
                <w:szCs w:val="22"/>
                <w:lang w:eastAsia="en-CA"/>
              </w:rPr>
            </w:pPr>
            <w:r>
              <w:rPr>
                <w:rFonts w:ascii="Calibri" w:hAnsi="Calibri" w:eastAsia="Times New Roman" w:cs="Calibri"/>
                <w:b/>
                <w:bCs/>
                <w:color w:val="000000"/>
                <w:sz w:val="22"/>
                <w:szCs w:val="22"/>
                <w:lang w:eastAsia="en-CA"/>
              </w:rPr>
              <w:t>Susiette</w:t>
            </w:r>
          </w:p>
        </w:tc>
        <w:tc>
          <w:tcPr>
            <w:tcW w:w="2866" w:type="dxa"/>
            <w:tcBorders>
              <w:top w:val="single" w:color="000000"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spacing w:after="0" w:line="240" w:lineRule="auto"/>
              <w:rPr>
                <w:rFonts w:ascii="Calibri" w:hAnsi="Calibri" w:eastAsia="Times New Roman" w:cs="Calibri"/>
                <w:color w:val="000000"/>
                <w:sz w:val="22"/>
                <w:szCs w:val="22"/>
                <w:lang w:eastAsia="en-CA"/>
              </w:rPr>
            </w:pPr>
            <w:r>
              <w:rPr>
                <w:rFonts w:ascii="Calibri" w:hAnsi="Calibri" w:eastAsia="Times New Roman" w:cs="Calibri"/>
                <w:color w:val="000000"/>
                <w:sz w:val="22"/>
                <w:szCs w:val="22"/>
                <w:lang w:eastAsia="en-CA"/>
              </w:rPr>
              <w:t>Provided an equal contribution</w:t>
            </w:r>
          </w:p>
        </w:tc>
      </w:tr>
      <w:tr>
        <w:tblPrEx>
          <w:tblLayout w:type="fixed"/>
          <w:tblCellMar>
            <w:top w:w="0" w:type="dxa"/>
            <w:left w:w="0" w:type="dxa"/>
            <w:bottom w:w="0" w:type="dxa"/>
            <w:right w:w="0" w:type="dxa"/>
          </w:tblCellMar>
        </w:tblPrEx>
        <w:trPr>
          <w:trHeight w:val="315" w:hRule="atLeast"/>
        </w:trPr>
        <w:tc>
          <w:tcPr>
            <w:tcW w:w="828"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tcPr>
          <w:p>
            <w:pPr>
              <w:spacing w:after="0" w:line="240" w:lineRule="auto"/>
              <w:jc w:val="center"/>
              <w:rPr>
                <w:rFonts w:ascii="Calibri" w:hAnsi="Calibri" w:eastAsia="Times New Roman" w:cs="Calibri"/>
                <w:b/>
                <w:bCs/>
                <w:color w:val="000000"/>
                <w:sz w:val="22"/>
                <w:szCs w:val="22"/>
                <w:lang w:eastAsia="en-CA"/>
              </w:rPr>
            </w:pPr>
            <w:r>
              <w:rPr>
                <w:rFonts w:ascii="Calibri" w:hAnsi="Calibri" w:eastAsia="Times New Roman" w:cs="Calibri"/>
                <w:b/>
                <w:bCs/>
                <w:color w:val="000000"/>
                <w:sz w:val="22"/>
                <w:szCs w:val="22"/>
                <w:lang w:eastAsia="en-CA"/>
              </w:rPr>
              <w:t>Savitha</w:t>
            </w:r>
          </w:p>
        </w:tc>
        <w:tc>
          <w:tcPr>
            <w:tcW w:w="2866"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spacing w:after="0" w:line="240" w:lineRule="auto"/>
              <w:rPr>
                <w:rFonts w:ascii="Calibri" w:hAnsi="Calibri" w:eastAsia="Times New Roman" w:cs="Calibri"/>
                <w:color w:val="000000"/>
                <w:sz w:val="22"/>
                <w:szCs w:val="22"/>
                <w:lang w:eastAsia="en-CA"/>
              </w:rPr>
            </w:pPr>
            <w:r>
              <w:rPr>
                <w:rFonts w:ascii="Calibri" w:hAnsi="Calibri" w:eastAsia="Times New Roman" w:cs="Calibri"/>
                <w:color w:val="000000"/>
                <w:sz w:val="22"/>
                <w:szCs w:val="22"/>
                <w:lang w:eastAsia="en-CA"/>
              </w:rPr>
              <w:t>Provided an equal contribution</w:t>
            </w:r>
          </w:p>
        </w:tc>
      </w:tr>
      <w:tr>
        <w:tblPrEx>
          <w:tblLayout w:type="fixed"/>
          <w:tblCellMar>
            <w:top w:w="0" w:type="dxa"/>
            <w:left w:w="0" w:type="dxa"/>
            <w:bottom w:w="0" w:type="dxa"/>
            <w:right w:w="0" w:type="dxa"/>
          </w:tblCellMar>
        </w:tblPrEx>
        <w:trPr>
          <w:trHeight w:val="315" w:hRule="atLeast"/>
        </w:trPr>
        <w:tc>
          <w:tcPr>
            <w:tcW w:w="828"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tcPr>
          <w:p>
            <w:pPr>
              <w:spacing w:after="0" w:line="240" w:lineRule="auto"/>
              <w:jc w:val="center"/>
              <w:rPr>
                <w:rFonts w:ascii="Calibri" w:hAnsi="Calibri" w:eastAsia="Times New Roman" w:cs="Calibri"/>
                <w:b/>
                <w:bCs/>
                <w:color w:val="000000"/>
                <w:sz w:val="22"/>
                <w:szCs w:val="22"/>
                <w:lang w:eastAsia="en-CA"/>
              </w:rPr>
            </w:pPr>
            <w:r>
              <w:rPr>
                <w:rFonts w:ascii="Calibri" w:hAnsi="Calibri" w:eastAsia="Times New Roman" w:cs="Calibri"/>
                <w:b/>
                <w:bCs/>
                <w:color w:val="000000"/>
                <w:sz w:val="22"/>
                <w:szCs w:val="22"/>
                <w:lang w:eastAsia="en-CA"/>
              </w:rPr>
              <w:t>Ron</w:t>
            </w:r>
          </w:p>
        </w:tc>
        <w:tc>
          <w:tcPr>
            <w:tcW w:w="2866"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spacing w:after="0" w:line="240" w:lineRule="auto"/>
              <w:rPr>
                <w:rFonts w:ascii="Calibri" w:hAnsi="Calibri" w:eastAsia="Times New Roman" w:cs="Calibri"/>
                <w:color w:val="000000"/>
                <w:sz w:val="22"/>
                <w:szCs w:val="22"/>
                <w:lang w:eastAsia="en-CA"/>
              </w:rPr>
            </w:pPr>
            <w:r>
              <w:rPr>
                <w:rFonts w:ascii="Calibri" w:hAnsi="Calibri" w:eastAsia="Times New Roman" w:cs="Calibri"/>
                <w:color w:val="000000"/>
                <w:sz w:val="22"/>
                <w:szCs w:val="22"/>
                <w:lang w:eastAsia="en-CA"/>
              </w:rPr>
              <w:t>Provided an equal contribution</w:t>
            </w:r>
          </w:p>
        </w:tc>
      </w:tr>
      <w:tr>
        <w:tblPrEx>
          <w:tblLayout w:type="fixed"/>
          <w:tblCellMar>
            <w:top w:w="0" w:type="dxa"/>
            <w:left w:w="0" w:type="dxa"/>
            <w:bottom w:w="0" w:type="dxa"/>
            <w:right w:w="0" w:type="dxa"/>
          </w:tblCellMar>
        </w:tblPrEx>
        <w:trPr>
          <w:trHeight w:val="315" w:hRule="atLeast"/>
        </w:trPr>
        <w:tc>
          <w:tcPr>
            <w:tcW w:w="828"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tcPr>
          <w:p>
            <w:pPr>
              <w:spacing w:after="0" w:line="240" w:lineRule="auto"/>
              <w:jc w:val="center"/>
              <w:rPr>
                <w:rFonts w:ascii="Calibri" w:hAnsi="Calibri" w:eastAsia="Times New Roman" w:cs="Calibri"/>
                <w:b/>
                <w:bCs/>
                <w:color w:val="000000"/>
                <w:sz w:val="22"/>
                <w:szCs w:val="22"/>
                <w:lang w:eastAsia="en-CA"/>
              </w:rPr>
            </w:pPr>
            <w:r>
              <w:rPr>
                <w:rFonts w:ascii="Calibri" w:hAnsi="Calibri" w:eastAsia="Times New Roman" w:cs="Calibri"/>
                <w:b/>
                <w:bCs/>
                <w:color w:val="000000"/>
                <w:sz w:val="22"/>
                <w:szCs w:val="22"/>
                <w:lang w:eastAsia="en-CA"/>
              </w:rPr>
              <w:t>Michael</w:t>
            </w:r>
          </w:p>
        </w:tc>
        <w:tc>
          <w:tcPr>
            <w:tcW w:w="2866"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spacing w:after="0" w:line="240" w:lineRule="auto"/>
              <w:rPr>
                <w:rFonts w:ascii="Calibri" w:hAnsi="Calibri" w:eastAsia="Times New Roman" w:cs="Calibri"/>
                <w:color w:val="000000"/>
                <w:sz w:val="22"/>
                <w:szCs w:val="22"/>
                <w:lang w:eastAsia="en-CA"/>
              </w:rPr>
            </w:pPr>
            <w:r>
              <w:rPr>
                <w:rFonts w:ascii="Calibri" w:hAnsi="Calibri" w:eastAsia="Times New Roman" w:cs="Calibri"/>
                <w:color w:val="000000"/>
                <w:sz w:val="22"/>
                <w:szCs w:val="22"/>
                <w:lang w:eastAsia="en-CA"/>
              </w:rPr>
              <w:t>Provided an equal contribution</w:t>
            </w:r>
          </w:p>
        </w:tc>
      </w:tr>
      <w:tr>
        <w:tblPrEx>
          <w:tblLayout w:type="fixed"/>
          <w:tblCellMar>
            <w:top w:w="0" w:type="dxa"/>
            <w:left w:w="0" w:type="dxa"/>
            <w:bottom w:w="0" w:type="dxa"/>
            <w:right w:w="0" w:type="dxa"/>
          </w:tblCellMar>
        </w:tblPrEx>
        <w:trPr>
          <w:trHeight w:val="315" w:hRule="atLeast"/>
        </w:trPr>
        <w:tc>
          <w:tcPr>
            <w:tcW w:w="828"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tcPr>
          <w:p>
            <w:pPr>
              <w:spacing w:after="0" w:line="240" w:lineRule="auto"/>
              <w:jc w:val="center"/>
              <w:rPr>
                <w:rFonts w:ascii="Calibri" w:hAnsi="Calibri" w:eastAsia="Times New Roman" w:cs="Calibri"/>
                <w:b/>
                <w:bCs/>
                <w:color w:val="000000"/>
                <w:sz w:val="22"/>
                <w:szCs w:val="22"/>
                <w:lang w:eastAsia="en-CA"/>
              </w:rPr>
            </w:pPr>
            <w:r>
              <w:rPr>
                <w:rFonts w:ascii="Calibri" w:hAnsi="Calibri" w:eastAsia="Times New Roman" w:cs="Calibri"/>
                <w:b/>
                <w:bCs/>
                <w:color w:val="000000"/>
                <w:sz w:val="22"/>
                <w:szCs w:val="22"/>
                <w:lang w:eastAsia="en-CA"/>
              </w:rPr>
              <w:t>Marco</w:t>
            </w:r>
          </w:p>
        </w:tc>
        <w:tc>
          <w:tcPr>
            <w:tcW w:w="2866"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spacing w:after="0" w:line="240" w:lineRule="auto"/>
              <w:rPr>
                <w:rFonts w:ascii="Calibri" w:hAnsi="Calibri" w:eastAsia="Times New Roman" w:cs="Calibri"/>
                <w:color w:val="000000"/>
                <w:sz w:val="22"/>
                <w:szCs w:val="22"/>
                <w:lang w:eastAsia="en-CA"/>
              </w:rPr>
            </w:pPr>
            <w:r>
              <w:rPr>
                <w:rFonts w:ascii="Calibri" w:hAnsi="Calibri" w:eastAsia="Times New Roman" w:cs="Calibri"/>
                <w:color w:val="000000"/>
                <w:sz w:val="22"/>
                <w:szCs w:val="22"/>
                <w:lang w:eastAsia="en-CA"/>
              </w:rPr>
              <w:t>Provided an equal contribution</w:t>
            </w:r>
          </w:p>
        </w:tc>
      </w:tr>
      <w:tr>
        <w:tblPrEx>
          <w:tblLayout w:type="fixed"/>
          <w:tblCellMar>
            <w:top w:w="0" w:type="dxa"/>
            <w:left w:w="0" w:type="dxa"/>
            <w:bottom w:w="0" w:type="dxa"/>
            <w:right w:w="0" w:type="dxa"/>
          </w:tblCellMar>
        </w:tblPrEx>
        <w:trPr>
          <w:trHeight w:val="315" w:hRule="atLeast"/>
        </w:trPr>
        <w:tc>
          <w:tcPr>
            <w:tcW w:w="828"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tcPr>
          <w:p>
            <w:pPr>
              <w:spacing w:after="0" w:line="240" w:lineRule="auto"/>
              <w:jc w:val="center"/>
              <w:rPr>
                <w:rFonts w:ascii="Calibri" w:hAnsi="Calibri" w:eastAsia="Times New Roman" w:cs="Calibri"/>
                <w:b/>
                <w:bCs/>
                <w:color w:val="000000"/>
                <w:sz w:val="22"/>
                <w:szCs w:val="22"/>
                <w:lang w:eastAsia="en-CA"/>
              </w:rPr>
            </w:pPr>
            <w:r>
              <w:rPr>
                <w:rFonts w:ascii="Calibri" w:hAnsi="Calibri" w:eastAsia="Times New Roman" w:cs="Calibri"/>
                <w:b/>
                <w:bCs/>
                <w:color w:val="000000"/>
                <w:sz w:val="22"/>
                <w:szCs w:val="22"/>
                <w:lang w:eastAsia="en-CA"/>
              </w:rPr>
              <w:t>Ray</w:t>
            </w:r>
          </w:p>
        </w:tc>
        <w:tc>
          <w:tcPr>
            <w:tcW w:w="2866"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tcPr>
          <w:p>
            <w:pPr>
              <w:spacing w:after="0" w:line="240" w:lineRule="auto"/>
              <w:rPr>
                <w:rFonts w:ascii="Calibri" w:hAnsi="Calibri" w:eastAsia="Times New Roman" w:cs="Calibri"/>
                <w:color w:val="000000"/>
                <w:sz w:val="22"/>
                <w:szCs w:val="22"/>
                <w:lang w:eastAsia="en-CA"/>
              </w:rPr>
            </w:pPr>
            <w:r>
              <w:rPr>
                <w:rFonts w:ascii="Calibri" w:hAnsi="Calibri" w:eastAsia="Times New Roman" w:cs="Calibri"/>
                <w:color w:val="000000"/>
                <w:sz w:val="22"/>
                <w:szCs w:val="22"/>
                <w:lang w:eastAsia="en-CA"/>
              </w:rPr>
              <w:t>Provided an equal contribution</w:t>
            </w:r>
          </w:p>
        </w:tc>
      </w:tr>
    </w:tbl>
    <w:p/>
    <w:sectPr>
      <w:footerReference r:id="rId3" w:type="default"/>
      <w:pgSz w:w="12240" w:h="15840"/>
      <w:pgMar w:top="851" w:right="1440" w:bottom="1440" w:left="1440" w:header="708" w:footer="708"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amp;quo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21825"/>
      <w:docPartObj>
        <w:docPartGallery w:val="autotext"/>
      </w:docPartObj>
    </w:sdtPr>
    <w:sdtContent>
      <w:p>
        <w:pPr>
          <w:pStyle w:val="13"/>
          <w:jc w:val="right"/>
        </w:pPr>
        <w:r>
          <w:t xml:space="preserve">Page | </w:t>
        </w:r>
        <w:r>
          <w:fldChar w:fldCharType="begin"/>
        </w:r>
        <w:r>
          <w:instrText xml:space="preserve"> PAGE   \* MERGEFORMAT </w:instrText>
        </w:r>
        <w:r>
          <w:fldChar w:fldCharType="separate"/>
        </w:r>
        <w:r>
          <w:t>22</w:t>
        </w:r>
        <w:r>
          <w:fldChar w:fldCharType="end"/>
        </w:r>
        <w:r>
          <w:t xml:space="preserve"> </w:t>
        </w:r>
      </w:p>
    </w:sdtContent>
  </w:sdt>
  <w:p>
    <w:pPr>
      <w:pStyle w:val="13"/>
    </w:pPr>
    <w:r>
      <w:t>Da Vinci’s Pizza – Provisioning Data and Analytic Workload Analysis</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E0FB1"/>
    <w:multiLevelType w:val="multilevel"/>
    <w:tmpl w:val="0E8E0FB1"/>
    <w:lvl w:ilvl="0" w:tentative="0">
      <w:start w:val="4"/>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6225886"/>
    <w:multiLevelType w:val="multilevel"/>
    <w:tmpl w:val="162258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23A4D21"/>
    <w:multiLevelType w:val="multilevel"/>
    <w:tmpl w:val="223A4D2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51D06754"/>
    <w:multiLevelType w:val="multilevel"/>
    <w:tmpl w:val="51D06754"/>
    <w:lvl w:ilvl="0" w:tentative="0">
      <w:start w:val="4"/>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62B668C"/>
    <w:multiLevelType w:val="multilevel"/>
    <w:tmpl w:val="562B66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1B774F0"/>
    <w:multiLevelType w:val="multilevel"/>
    <w:tmpl w:val="61B774F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893"/>
    <w:rsid w:val="0002474F"/>
    <w:rsid w:val="0005203B"/>
    <w:rsid w:val="00056274"/>
    <w:rsid w:val="00081EEC"/>
    <w:rsid w:val="000A4B57"/>
    <w:rsid w:val="000B199F"/>
    <w:rsid w:val="00122AC4"/>
    <w:rsid w:val="00190525"/>
    <w:rsid w:val="001A4A8C"/>
    <w:rsid w:val="001F5491"/>
    <w:rsid w:val="00201285"/>
    <w:rsid w:val="00214C08"/>
    <w:rsid w:val="00344EE6"/>
    <w:rsid w:val="003866CD"/>
    <w:rsid w:val="00463A23"/>
    <w:rsid w:val="004A3F15"/>
    <w:rsid w:val="004B3742"/>
    <w:rsid w:val="004F40A2"/>
    <w:rsid w:val="00565F40"/>
    <w:rsid w:val="005903EB"/>
    <w:rsid w:val="005B1118"/>
    <w:rsid w:val="005B1D96"/>
    <w:rsid w:val="005C33AC"/>
    <w:rsid w:val="005C6517"/>
    <w:rsid w:val="005F1CA8"/>
    <w:rsid w:val="00613262"/>
    <w:rsid w:val="00672879"/>
    <w:rsid w:val="006F5D34"/>
    <w:rsid w:val="00710B08"/>
    <w:rsid w:val="00712E4A"/>
    <w:rsid w:val="00731785"/>
    <w:rsid w:val="00781C09"/>
    <w:rsid w:val="007C0678"/>
    <w:rsid w:val="007D73A9"/>
    <w:rsid w:val="00811040"/>
    <w:rsid w:val="00836B13"/>
    <w:rsid w:val="0088528C"/>
    <w:rsid w:val="008943EE"/>
    <w:rsid w:val="008A4E47"/>
    <w:rsid w:val="008B312F"/>
    <w:rsid w:val="0092226C"/>
    <w:rsid w:val="0096328A"/>
    <w:rsid w:val="00966102"/>
    <w:rsid w:val="009B0D0E"/>
    <w:rsid w:val="00A520BC"/>
    <w:rsid w:val="00A61FAB"/>
    <w:rsid w:val="00A84E56"/>
    <w:rsid w:val="00B51F67"/>
    <w:rsid w:val="00B56E6B"/>
    <w:rsid w:val="00B81805"/>
    <w:rsid w:val="00BA26D2"/>
    <w:rsid w:val="00BD533C"/>
    <w:rsid w:val="00BE567A"/>
    <w:rsid w:val="00BF7322"/>
    <w:rsid w:val="00BF7F92"/>
    <w:rsid w:val="00CB3356"/>
    <w:rsid w:val="00CC1BF4"/>
    <w:rsid w:val="00CC2C9D"/>
    <w:rsid w:val="00CC3B82"/>
    <w:rsid w:val="00CD40BE"/>
    <w:rsid w:val="00CF1A75"/>
    <w:rsid w:val="00CF3893"/>
    <w:rsid w:val="00D732F1"/>
    <w:rsid w:val="00DA79DA"/>
    <w:rsid w:val="00DE2F31"/>
    <w:rsid w:val="00E027FB"/>
    <w:rsid w:val="00E975FB"/>
    <w:rsid w:val="00E97AD9"/>
    <w:rsid w:val="00EB5C82"/>
    <w:rsid w:val="00EC0A95"/>
    <w:rsid w:val="00EF3B33"/>
    <w:rsid w:val="00F2322C"/>
    <w:rsid w:val="00F47BDA"/>
    <w:rsid w:val="10206BD5"/>
    <w:rsid w:val="41A903C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88" w:lineRule="auto"/>
    </w:pPr>
    <w:rPr>
      <w:rFonts w:asciiTheme="minorHAnsi" w:hAnsiTheme="minorHAnsi" w:eastAsiaTheme="minorEastAsia" w:cstheme="minorBidi"/>
      <w:sz w:val="21"/>
      <w:szCs w:val="21"/>
      <w:lang w:val="en-CA" w:eastAsia="en-US" w:bidi="ar-SA"/>
    </w:rPr>
  </w:style>
  <w:style w:type="paragraph" w:styleId="2">
    <w:name w:val="heading 1"/>
    <w:basedOn w:val="1"/>
    <w:next w:val="1"/>
    <w:link w:val="30"/>
    <w:qFormat/>
    <w:uiPriority w:val="9"/>
    <w:pPr>
      <w:keepNext/>
      <w:keepLines/>
      <w:spacing w:before="360" w:after="40" w:line="240" w:lineRule="auto"/>
      <w:outlineLvl w:val="0"/>
    </w:pPr>
    <w:rPr>
      <w:rFonts w:asciiTheme="majorHAnsi" w:hAnsiTheme="majorHAnsi" w:eastAsiaTheme="majorEastAsia" w:cstheme="majorBidi"/>
      <w:b/>
      <w:color w:val="548235" w:themeColor="accent6" w:themeShade="BF"/>
      <w:sz w:val="40"/>
      <w:szCs w:val="40"/>
    </w:rPr>
  </w:style>
  <w:style w:type="paragraph" w:styleId="3">
    <w:name w:val="heading 2"/>
    <w:basedOn w:val="1"/>
    <w:next w:val="1"/>
    <w:link w:val="33"/>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 w:val="28"/>
      <w:szCs w:val="28"/>
    </w:rPr>
  </w:style>
  <w:style w:type="paragraph" w:styleId="4">
    <w:name w:val="heading 3"/>
    <w:basedOn w:val="1"/>
    <w:next w:val="1"/>
    <w:link w:val="34"/>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 w:val="24"/>
      <w:szCs w:val="24"/>
    </w:rPr>
  </w:style>
  <w:style w:type="paragraph" w:styleId="5">
    <w:name w:val="heading 4"/>
    <w:basedOn w:val="1"/>
    <w:next w:val="1"/>
    <w:link w:val="35"/>
    <w:semiHidden/>
    <w:unhideWhenUsed/>
    <w:qFormat/>
    <w:uiPriority w:val="9"/>
    <w:pPr>
      <w:keepNext/>
      <w:keepLines/>
      <w:spacing w:before="80" w:after="0"/>
      <w:outlineLvl w:val="3"/>
    </w:pPr>
    <w:rPr>
      <w:rFonts w:asciiTheme="majorHAnsi" w:hAnsiTheme="majorHAnsi" w:eastAsiaTheme="majorEastAsia" w:cstheme="majorBidi"/>
      <w:color w:val="70AD47" w:themeColor="accent6"/>
      <w:sz w:val="22"/>
      <w:szCs w:val="22"/>
      <w14:textFill>
        <w14:solidFill>
          <w14:schemeClr w14:val="accent6"/>
        </w14:solidFill>
      </w14:textFill>
    </w:rPr>
  </w:style>
  <w:style w:type="paragraph" w:styleId="6">
    <w:name w:val="heading 5"/>
    <w:basedOn w:val="1"/>
    <w:next w:val="1"/>
    <w:link w:val="36"/>
    <w:semiHidden/>
    <w:unhideWhenUsed/>
    <w:qFormat/>
    <w:uiPriority w:val="9"/>
    <w:pPr>
      <w:keepNext/>
      <w:keepLines/>
      <w:spacing w:before="40" w:after="0"/>
      <w:outlineLvl w:val="4"/>
    </w:pPr>
    <w:rPr>
      <w:rFonts w:asciiTheme="majorHAnsi" w:hAnsiTheme="majorHAnsi" w:eastAsiaTheme="majorEastAsia" w:cstheme="majorBidi"/>
      <w:i/>
      <w:iCs/>
      <w:color w:val="70AD47" w:themeColor="accent6"/>
      <w:sz w:val="22"/>
      <w:szCs w:val="22"/>
      <w14:textFill>
        <w14:solidFill>
          <w14:schemeClr w14:val="accent6"/>
        </w14:solidFill>
      </w14:textFill>
    </w:rPr>
  </w:style>
  <w:style w:type="paragraph" w:styleId="7">
    <w:name w:val="heading 6"/>
    <w:basedOn w:val="1"/>
    <w:next w:val="1"/>
    <w:link w:val="37"/>
    <w:semiHidden/>
    <w:unhideWhenUsed/>
    <w:qFormat/>
    <w:uiPriority w:val="9"/>
    <w:pPr>
      <w:keepNext/>
      <w:keepLines/>
      <w:spacing w:before="40" w:after="0"/>
      <w:outlineLvl w:val="5"/>
    </w:pPr>
    <w:rPr>
      <w:rFonts w:asciiTheme="majorHAnsi" w:hAnsiTheme="majorHAnsi" w:eastAsiaTheme="majorEastAsia" w:cstheme="majorBidi"/>
      <w:color w:val="70AD47" w:themeColor="accent6"/>
      <w14:textFill>
        <w14:solidFill>
          <w14:schemeClr w14:val="accent6"/>
        </w14:solidFill>
      </w14:textFill>
    </w:rPr>
  </w:style>
  <w:style w:type="paragraph" w:styleId="8">
    <w:name w:val="heading 7"/>
    <w:basedOn w:val="1"/>
    <w:next w:val="1"/>
    <w:link w:val="38"/>
    <w:semiHidden/>
    <w:unhideWhenUsed/>
    <w:qFormat/>
    <w:uiPriority w:val="9"/>
    <w:pPr>
      <w:keepNext/>
      <w:keepLines/>
      <w:spacing w:before="40" w:after="0"/>
      <w:outlineLvl w:val="6"/>
    </w:pPr>
    <w:rPr>
      <w:rFonts w:asciiTheme="majorHAnsi" w:hAnsiTheme="majorHAnsi" w:eastAsiaTheme="majorEastAsia" w:cstheme="majorBidi"/>
      <w:b/>
      <w:bCs/>
      <w:color w:val="70AD47" w:themeColor="accent6"/>
      <w14:textFill>
        <w14:solidFill>
          <w14:schemeClr w14:val="accent6"/>
        </w14:solidFill>
      </w14:textFill>
    </w:rPr>
  </w:style>
  <w:style w:type="paragraph" w:styleId="9">
    <w:name w:val="heading 8"/>
    <w:basedOn w:val="1"/>
    <w:next w:val="1"/>
    <w:link w:val="39"/>
    <w:semiHidden/>
    <w:unhideWhenUsed/>
    <w:qFormat/>
    <w:uiPriority w:val="9"/>
    <w:pPr>
      <w:keepNext/>
      <w:keepLines/>
      <w:spacing w:before="40" w:after="0"/>
      <w:outlineLvl w:val="7"/>
    </w:pPr>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paragraph" w:styleId="10">
    <w:name w:val="heading 9"/>
    <w:basedOn w:val="1"/>
    <w:next w:val="1"/>
    <w:link w:val="40"/>
    <w:semiHidden/>
    <w:unhideWhenUsed/>
    <w:qFormat/>
    <w:uiPriority w:val="9"/>
    <w:pPr>
      <w:keepNext/>
      <w:keepLines/>
      <w:spacing w:before="40" w:after="0"/>
      <w:outlineLvl w:val="8"/>
    </w:pPr>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default="1" w:styleId="21">
    <w:name w:val="Default Paragraph Font"/>
    <w:semiHidden/>
    <w:unhideWhenUsed/>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53"/>
    <w:semiHidden/>
    <w:unhideWhenUsed/>
    <w:uiPriority w:val="99"/>
    <w:pPr>
      <w:spacing w:after="0" w:line="240" w:lineRule="auto"/>
    </w:pPr>
    <w:rPr>
      <w:rFonts w:ascii="Tahoma" w:hAnsi="Tahoma" w:cs="Tahoma" w:eastAsiaTheme="minorHAnsi"/>
      <w:color w:val="2E75B6" w:themeColor="accent1" w:themeShade="BF"/>
      <w:sz w:val="16"/>
      <w:szCs w:val="16"/>
      <w:lang w:val="en-US"/>
    </w:rPr>
  </w:style>
  <w:style w:type="paragraph" w:styleId="12">
    <w:name w:val="caption"/>
    <w:basedOn w:val="1"/>
    <w:next w:val="1"/>
    <w:semiHidden/>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paragraph" w:styleId="13">
    <w:name w:val="footer"/>
    <w:basedOn w:val="1"/>
    <w:link w:val="29"/>
    <w:unhideWhenUsed/>
    <w:qFormat/>
    <w:uiPriority w:val="99"/>
    <w:pPr>
      <w:tabs>
        <w:tab w:val="center" w:pos="4680"/>
        <w:tab w:val="right" w:pos="9360"/>
      </w:tabs>
      <w:spacing w:after="0" w:line="240" w:lineRule="auto"/>
    </w:pPr>
  </w:style>
  <w:style w:type="paragraph" w:styleId="14">
    <w:name w:val="header"/>
    <w:basedOn w:val="1"/>
    <w:link w:val="28"/>
    <w:unhideWhenUsed/>
    <w:qFormat/>
    <w:uiPriority w:val="99"/>
    <w:pPr>
      <w:tabs>
        <w:tab w:val="center" w:pos="4680"/>
        <w:tab w:val="right" w:pos="9360"/>
      </w:tabs>
      <w:spacing w:after="0" w:line="240" w:lineRule="auto"/>
    </w:pPr>
  </w:style>
  <w:style w:type="paragraph" w:styleId="15">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6">
    <w:name w:val="Subtitle"/>
    <w:basedOn w:val="1"/>
    <w:next w:val="1"/>
    <w:link w:val="41"/>
    <w:qFormat/>
    <w:uiPriority w:val="11"/>
    <w:pPr>
      <w:spacing w:line="240" w:lineRule="auto"/>
    </w:pPr>
    <w:rPr>
      <w:rFonts w:asciiTheme="majorHAnsi" w:hAnsiTheme="majorHAnsi" w:eastAsiaTheme="majorEastAsia" w:cstheme="majorBidi"/>
      <w:sz w:val="30"/>
      <w:szCs w:val="30"/>
    </w:rPr>
  </w:style>
  <w:style w:type="paragraph" w:styleId="17">
    <w:name w:val="Title"/>
    <w:basedOn w:val="1"/>
    <w:next w:val="1"/>
    <w:link w:val="32"/>
    <w:qFormat/>
    <w:uiPriority w:val="10"/>
    <w:pPr>
      <w:spacing w:after="0" w:line="240" w:lineRule="auto"/>
      <w:contextualSpacing/>
    </w:pPr>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spacing w:after="100" w:line="259" w:lineRule="auto"/>
      <w:ind w:left="220"/>
    </w:pPr>
    <w:rPr>
      <w:rFonts w:cs="Times New Roman"/>
      <w:sz w:val="22"/>
      <w:szCs w:val="22"/>
      <w:lang w:val="en-US"/>
    </w:rPr>
  </w:style>
  <w:style w:type="paragraph" w:styleId="20">
    <w:name w:val="toc 3"/>
    <w:basedOn w:val="1"/>
    <w:next w:val="1"/>
    <w:unhideWhenUsed/>
    <w:qFormat/>
    <w:uiPriority w:val="39"/>
    <w:pPr>
      <w:spacing w:after="100" w:line="259" w:lineRule="auto"/>
      <w:ind w:left="440"/>
    </w:pPr>
    <w:rPr>
      <w:rFonts w:cs="Times New Roman"/>
      <w:sz w:val="22"/>
      <w:szCs w:val="22"/>
      <w:lang w:val="en-US"/>
    </w:rPr>
  </w:style>
  <w:style w:type="character" w:styleId="22">
    <w:name w:val="Emphasis"/>
    <w:basedOn w:val="21"/>
    <w:qFormat/>
    <w:uiPriority w:val="20"/>
    <w:rPr>
      <w:i/>
      <w:iCs/>
      <w:color w:val="70AD47" w:themeColor="accent6"/>
      <w14:textFill>
        <w14:solidFill>
          <w14:schemeClr w14:val="accent6"/>
        </w14:solidFill>
      </w14:textFill>
    </w:rPr>
  </w:style>
  <w:style w:type="character" w:styleId="23">
    <w:name w:val="Hyperlink"/>
    <w:basedOn w:val="21"/>
    <w:unhideWhenUsed/>
    <w:qFormat/>
    <w:uiPriority w:val="99"/>
    <w:rPr>
      <w:color w:val="0563C1" w:themeColor="hyperlink"/>
      <w:u w:val="single"/>
      <w14:textFill>
        <w14:solidFill>
          <w14:schemeClr w14:val="hlink"/>
        </w14:solidFill>
      </w14:textFill>
    </w:rPr>
  </w:style>
  <w:style w:type="character" w:styleId="24">
    <w:name w:val="Strong"/>
    <w:basedOn w:val="21"/>
    <w:qFormat/>
    <w:uiPriority w:val="0"/>
    <w:rPr>
      <w:b/>
      <w:bCs/>
    </w:rPr>
  </w:style>
  <w:style w:type="paragraph" w:styleId="26">
    <w:name w:val="List Paragraph"/>
    <w:basedOn w:val="1"/>
    <w:qFormat/>
    <w:uiPriority w:val="34"/>
    <w:pPr>
      <w:ind w:left="720"/>
      <w:contextualSpacing/>
    </w:pPr>
  </w:style>
  <w:style w:type="paragraph" w:customStyle="1" w:styleId="27">
    <w:name w:val="yiv5395791342ydp2baaa444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CA"/>
    </w:rPr>
  </w:style>
  <w:style w:type="character" w:customStyle="1" w:styleId="28">
    <w:name w:val="Header Char"/>
    <w:basedOn w:val="21"/>
    <w:link w:val="14"/>
    <w:qFormat/>
    <w:uiPriority w:val="99"/>
  </w:style>
  <w:style w:type="character" w:customStyle="1" w:styleId="29">
    <w:name w:val="Footer Char"/>
    <w:basedOn w:val="21"/>
    <w:link w:val="13"/>
    <w:qFormat/>
    <w:uiPriority w:val="99"/>
  </w:style>
  <w:style w:type="character" w:customStyle="1" w:styleId="30">
    <w:name w:val="Heading 1 Char"/>
    <w:basedOn w:val="21"/>
    <w:link w:val="2"/>
    <w:qFormat/>
    <w:uiPriority w:val="9"/>
    <w:rPr>
      <w:rFonts w:asciiTheme="majorHAnsi" w:hAnsiTheme="majorHAnsi" w:eastAsiaTheme="majorEastAsia" w:cstheme="majorBidi"/>
      <w:b/>
      <w:color w:val="548235" w:themeColor="accent6" w:themeShade="BF"/>
      <w:sz w:val="40"/>
      <w:szCs w:val="40"/>
    </w:rPr>
  </w:style>
  <w:style w:type="paragraph" w:customStyle="1" w:styleId="31">
    <w:name w:val="TOC Heading"/>
    <w:basedOn w:val="2"/>
    <w:next w:val="1"/>
    <w:unhideWhenUsed/>
    <w:qFormat/>
    <w:uiPriority w:val="39"/>
    <w:pPr>
      <w:outlineLvl w:val="9"/>
    </w:pPr>
  </w:style>
  <w:style w:type="character" w:customStyle="1" w:styleId="32">
    <w:name w:val="Title Char"/>
    <w:basedOn w:val="21"/>
    <w:link w:val="17"/>
    <w:qFormat/>
    <w:uiPriority w:val="10"/>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character" w:customStyle="1" w:styleId="33">
    <w:name w:val="Heading 2 Char"/>
    <w:basedOn w:val="21"/>
    <w:link w:val="3"/>
    <w:qFormat/>
    <w:uiPriority w:val="9"/>
    <w:rPr>
      <w:rFonts w:asciiTheme="majorHAnsi" w:hAnsiTheme="majorHAnsi" w:eastAsiaTheme="majorEastAsia" w:cstheme="majorBidi"/>
      <w:color w:val="548235" w:themeColor="accent6" w:themeShade="BF"/>
      <w:sz w:val="28"/>
      <w:szCs w:val="28"/>
    </w:rPr>
  </w:style>
  <w:style w:type="character" w:customStyle="1" w:styleId="34">
    <w:name w:val="Heading 3 Char"/>
    <w:basedOn w:val="21"/>
    <w:link w:val="4"/>
    <w:qFormat/>
    <w:uiPriority w:val="9"/>
    <w:rPr>
      <w:rFonts w:asciiTheme="majorHAnsi" w:hAnsiTheme="majorHAnsi" w:eastAsiaTheme="majorEastAsia" w:cstheme="majorBidi"/>
      <w:color w:val="548235" w:themeColor="accent6" w:themeShade="BF"/>
      <w:sz w:val="24"/>
      <w:szCs w:val="24"/>
    </w:rPr>
  </w:style>
  <w:style w:type="character" w:customStyle="1" w:styleId="35">
    <w:name w:val="Heading 4 Char"/>
    <w:basedOn w:val="21"/>
    <w:link w:val="5"/>
    <w:semiHidden/>
    <w:qFormat/>
    <w:uiPriority w:val="9"/>
    <w:rPr>
      <w:rFonts w:asciiTheme="majorHAnsi" w:hAnsiTheme="majorHAnsi" w:eastAsiaTheme="majorEastAsia" w:cstheme="majorBidi"/>
      <w:color w:val="70AD47" w:themeColor="accent6"/>
      <w:sz w:val="22"/>
      <w:szCs w:val="22"/>
      <w14:textFill>
        <w14:solidFill>
          <w14:schemeClr w14:val="accent6"/>
        </w14:solidFill>
      </w14:textFill>
    </w:rPr>
  </w:style>
  <w:style w:type="character" w:customStyle="1" w:styleId="36">
    <w:name w:val="Heading 5 Char"/>
    <w:basedOn w:val="21"/>
    <w:link w:val="6"/>
    <w:semiHidden/>
    <w:qFormat/>
    <w:uiPriority w:val="9"/>
    <w:rPr>
      <w:rFonts w:asciiTheme="majorHAnsi" w:hAnsiTheme="majorHAnsi" w:eastAsiaTheme="majorEastAsia" w:cstheme="majorBidi"/>
      <w:i/>
      <w:iCs/>
      <w:color w:val="70AD47" w:themeColor="accent6"/>
      <w:sz w:val="22"/>
      <w:szCs w:val="22"/>
      <w14:textFill>
        <w14:solidFill>
          <w14:schemeClr w14:val="accent6"/>
        </w14:solidFill>
      </w14:textFill>
    </w:rPr>
  </w:style>
  <w:style w:type="character" w:customStyle="1" w:styleId="37">
    <w:name w:val="Heading 6 Char"/>
    <w:basedOn w:val="21"/>
    <w:link w:val="7"/>
    <w:semiHidden/>
    <w:qFormat/>
    <w:uiPriority w:val="9"/>
    <w:rPr>
      <w:rFonts w:asciiTheme="majorHAnsi" w:hAnsiTheme="majorHAnsi" w:eastAsiaTheme="majorEastAsia" w:cstheme="majorBidi"/>
      <w:color w:val="70AD47" w:themeColor="accent6"/>
      <w14:textFill>
        <w14:solidFill>
          <w14:schemeClr w14:val="accent6"/>
        </w14:solidFill>
      </w14:textFill>
    </w:rPr>
  </w:style>
  <w:style w:type="character" w:customStyle="1" w:styleId="38">
    <w:name w:val="Heading 7 Char"/>
    <w:basedOn w:val="21"/>
    <w:link w:val="8"/>
    <w:semiHidden/>
    <w:qFormat/>
    <w:uiPriority w:val="9"/>
    <w:rPr>
      <w:rFonts w:asciiTheme="majorHAnsi" w:hAnsiTheme="majorHAnsi" w:eastAsiaTheme="majorEastAsia" w:cstheme="majorBidi"/>
      <w:b/>
      <w:bCs/>
      <w:color w:val="70AD47" w:themeColor="accent6"/>
      <w14:textFill>
        <w14:solidFill>
          <w14:schemeClr w14:val="accent6"/>
        </w14:solidFill>
      </w14:textFill>
    </w:rPr>
  </w:style>
  <w:style w:type="character" w:customStyle="1" w:styleId="39">
    <w:name w:val="Heading 8 Char"/>
    <w:basedOn w:val="21"/>
    <w:link w:val="9"/>
    <w:semiHidden/>
    <w:qFormat/>
    <w:uiPriority w:val="9"/>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character" w:customStyle="1" w:styleId="40">
    <w:name w:val="Heading 9 Char"/>
    <w:basedOn w:val="21"/>
    <w:link w:val="10"/>
    <w:semiHidden/>
    <w:qFormat/>
    <w:uiPriority w:val="9"/>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customStyle="1" w:styleId="41">
    <w:name w:val="Subtitle Char"/>
    <w:basedOn w:val="21"/>
    <w:link w:val="16"/>
    <w:qFormat/>
    <w:uiPriority w:val="11"/>
    <w:rPr>
      <w:rFonts w:asciiTheme="majorHAnsi" w:hAnsiTheme="majorHAnsi" w:eastAsiaTheme="majorEastAsia" w:cstheme="majorBidi"/>
      <w:sz w:val="30"/>
      <w:szCs w:val="30"/>
    </w:rPr>
  </w:style>
  <w:style w:type="paragraph" w:styleId="42">
    <w:name w:val="No Spacing"/>
    <w:qFormat/>
    <w:uiPriority w:val="1"/>
    <w:pPr>
      <w:spacing w:after="0" w:line="240" w:lineRule="auto"/>
    </w:pPr>
    <w:rPr>
      <w:rFonts w:asciiTheme="minorHAnsi" w:hAnsiTheme="minorHAnsi" w:eastAsiaTheme="minorEastAsia" w:cstheme="minorBidi"/>
      <w:sz w:val="21"/>
      <w:szCs w:val="21"/>
      <w:lang w:val="en-CA" w:eastAsia="en-US" w:bidi="ar-SA"/>
    </w:rPr>
  </w:style>
  <w:style w:type="paragraph" w:styleId="43">
    <w:name w:val="Quote"/>
    <w:basedOn w:val="1"/>
    <w:next w:val="1"/>
    <w:link w:val="44"/>
    <w:qFormat/>
    <w:uiPriority w:val="29"/>
    <w:pPr>
      <w:spacing w:before="160"/>
      <w:ind w:left="720" w:right="720"/>
      <w:jc w:val="center"/>
    </w:pPr>
    <w:rPr>
      <w:i/>
      <w:iCs/>
      <w:color w:val="262626" w:themeColor="text1" w:themeTint="D9"/>
      <w14:textFill>
        <w14:solidFill>
          <w14:schemeClr w14:val="tx1">
            <w14:lumMod w14:val="85000"/>
            <w14:lumOff w14:val="15000"/>
          </w14:schemeClr>
        </w14:solidFill>
      </w14:textFill>
    </w:rPr>
  </w:style>
  <w:style w:type="character" w:customStyle="1" w:styleId="44">
    <w:name w:val="Quote Char"/>
    <w:basedOn w:val="21"/>
    <w:link w:val="43"/>
    <w:qFormat/>
    <w:uiPriority w:val="29"/>
    <w:rPr>
      <w:i/>
      <w:iCs/>
      <w:color w:val="262626" w:themeColor="text1" w:themeTint="D9"/>
      <w14:textFill>
        <w14:solidFill>
          <w14:schemeClr w14:val="tx1">
            <w14:lumMod w14:val="85000"/>
            <w14:lumOff w14:val="15000"/>
          </w14:schemeClr>
        </w14:solidFill>
      </w14:textFill>
    </w:rPr>
  </w:style>
  <w:style w:type="paragraph" w:styleId="45">
    <w:name w:val="Intense Quote"/>
    <w:basedOn w:val="1"/>
    <w:next w:val="1"/>
    <w:link w:val="46"/>
    <w:qFormat/>
    <w:uiPriority w:val="30"/>
    <w:pPr>
      <w:spacing w:before="160" w:after="160" w:line="264" w:lineRule="auto"/>
      <w:ind w:left="720" w:right="720"/>
      <w:jc w:val="center"/>
    </w:pPr>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6">
    <w:name w:val="Intense Quote Char"/>
    <w:basedOn w:val="21"/>
    <w:link w:val="45"/>
    <w:qFormat/>
    <w:uiPriority w:val="30"/>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7">
    <w:name w:val="Subtle Emphasis"/>
    <w:basedOn w:val="21"/>
    <w:qFormat/>
    <w:uiPriority w:val="19"/>
    <w:rPr>
      <w:i/>
      <w:iCs/>
    </w:rPr>
  </w:style>
  <w:style w:type="character" w:customStyle="1" w:styleId="48">
    <w:name w:val="Intense Emphasis"/>
    <w:basedOn w:val="21"/>
    <w:qFormat/>
    <w:uiPriority w:val="21"/>
    <w:rPr>
      <w:b/>
      <w:bCs/>
      <w:i/>
      <w:iCs/>
    </w:rPr>
  </w:style>
  <w:style w:type="character" w:customStyle="1" w:styleId="49">
    <w:name w:val="Subtle Reference"/>
    <w:basedOn w:val="2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0">
    <w:name w:val="Intense Reference"/>
    <w:basedOn w:val="21"/>
    <w:qFormat/>
    <w:uiPriority w:val="32"/>
    <w:rPr>
      <w:b/>
      <w:bCs/>
      <w:smallCaps/>
      <w:color w:val="70AD47" w:themeColor="accent6"/>
      <w14:textFill>
        <w14:solidFill>
          <w14:schemeClr w14:val="accent6"/>
        </w14:solidFill>
      </w14:textFill>
    </w:rPr>
  </w:style>
  <w:style w:type="character" w:customStyle="1" w:styleId="51">
    <w:name w:val="Book Title"/>
    <w:basedOn w:val="21"/>
    <w:qFormat/>
    <w:uiPriority w:val="33"/>
    <w:rPr>
      <w:b/>
      <w:bCs/>
      <w:smallCaps/>
      <w:spacing w:val="7"/>
      <w:sz w:val="21"/>
      <w:szCs w:val="21"/>
    </w:rPr>
  </w:style>
  <w:style w:type="paragraph" w:customStyle="1" w:styleId="52">
    <w:name w:val="Name"/>
    <w:basedOn w:val="1"/>
    <w:qFormat/>
    <w:uiPriority w:val="0"/>
    <w:pPr>
      <w:spacing w:line="276" w:lineRule="auto"/>
      <w:jc w:val="center"/>
    </w:pPr>
    <w:rPr>
      <w:rFonts w:asciiTheme="majorHAnsi" w:hAnsiTheme="majorHAnsi" w:eastAsiaTheme="minorHAnsi"/>
      <w:caps/>
      <w:color w:val="44546A" w:themeColor="text2"/>
      <w:sz w:val="40"/>
      <w:szCs w:val="40"/>
      <w:lang w:val="en-US"/>
      <w14:textFill>
        <w14:solidFill>
          <w14:schemeClr w14:val="tx2"/>
        </w14:solidFill>
      </w14:textFill>
    </w:rPr>
  </w:style>
  <w:style w:type="character" w:customStyle="1" w:styleId="53">
    <w:name w:val="Balloon Text Char"/>
    <w:basedOn w:val="21"/>
    <w:link w:val="11"/>
    <w:semiHidden/>
    <w:qFormat/>
    <w:uiPriority w:val="99"/>
    <w:rPr>
      <w:rFonts w:ascii="Tahoma" w:hAnsi="Tahoma" w:cs="Tahoma" w:eastAsiaTheme="minorHAnsi"/>
      <w:color w:val="2E75B6" w:themeColor="accent1" w:themeShade="BF"/>
      <w:sz w:val="16"/>
      <w:szCs w:val="1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sv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emf"/><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emf"/><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emf"/><Relationship Id="rId17" Type="http://schemas.openxmlformats.org/officeDocument/2006/relationships/image" Target="media/image12.emf"/><Relationship Id="rId16" Type="http://schemas.openxmlformats.org/officeDocument/2006/relationships/image" Target="media/image11.emf"/><Relationship Id="rId15" Type="http://schemas.openxmlformats.org/officeDocument/2006/relationships/image" Target="media/image10.emf"/><Relationship Id="rId14" Type="http://schemas.openxmlformats.org/officeDocument/2006/relationships/image" Target="media/image9.emf"/><Relationship Id="rId13" Type="http://schemas.openxmlformats.org/officeDocument/2006/relationships/image" Target="media/image8.emf"/><Relationship Id="rId12" Type="http://schemas.openxmlformats.org/officeDocument/2006/relationships/image" Target="media/image7.emf"/><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0997CE-CB1E-4F02-9247-1E15CC056AC5}">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2940</Words>
  <Characters>16758</Characters>
  <Lines>139</Lines>
  <Paragraphs>39</Paragraphs>
  <TotalTime>60</TotalTime>
  <ScaleCrop>false</ScaleCrop>
  <LinksUpToDate>false</LinksUpToDate>
  <CharactersWithSpaces>19659</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2019-03-12T18:24:00Z</dcterms:created>
  <dc:creator>Michael Douglass</dc:creator>
  <cp:lastModifiedBy>Susiette Adams</cp:lastModifiedBy>
  <dcterms:modified xsi:type="dcterms:W3CDTF">2019-11-28T03:47:36Z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