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LuxGen Backend Architecture</w:t>
      </w:r>
    </w:p>
    <w:p>
      <w:pPr>
        <w:spacing w:after="100"/>
      </w:pPr>
      <w:r>
        <w:rPr>
          <w:i/>
          <w:iCs/>
          <w:sz w:val="24"/>
          <w:szCs w:val="24"/>
        </w:rPr>
        <w:t xml:space="preserve">Serving web + mobile from one API — recommended architecture, API documentation strategy, and free-tier deployment plan</w:t>
      </w:r>
    </w:p>
    <w:p>
      <w:pPr>
        <w:spacing w:after="400"/>
      </w:pPr>
      <w:r>
        <w:rPr>
          <w:color w:val="666666"/>
          <w:sz w:val="20"/>
          <w:szCs w:val="20"/>
        </w:rPr>
        <w:t xml:space="preserve">Prepared for: LuxGen engineering (solo/small team)  ·  Scope: backend API only, AI/Agent platform excluded  ·  Stage: early (&lt;1k users, few tenants)</w:t>
      </w:r>
    </w:p>
    <w:p>
      <w:pPr>
        <w:pStyle w:val="Heading1"/>
        <w:spacing w:after="200" w:before="400"/>
      </w:pPr>
      <w:r>
        <w:t xml:space="preserve">1. Executive summary</w:t>
      </w:r>
    </w:p>
    <w:p>
      <w:pPr>
        <w:spacing w:after="160"/>
      </w:pPr>
      <w:r>
        <w:t xml:space="preserve">LuxGen already has the right high-level shape: one GraphQL API (apps/api) is the single source of truth for both the Next.js web app and the Expo mobile app. This document confirms that shape is correct for the current stage, adds the piece that was missing — documented, versioned reference for the REST slice of the API — and lays out concrete signals for when (not if) to revisit these decisions as usage grows.</w:t>
      </w:r>
    </w:p>
    <w:p>
      <w:pPr>
        <w:spacing w:after="160"/>
      </w:pPr>
      <w:r>
        <w:rPr>
          <w:b w:val="false"/>
          <w:bCs w:val="false"/>
        </w:rPr>
        <w:t xml:space="preserve">Three things changed as part of this work:</w:t>
      </w:r>
    </w:p>
    <w:p>
      <w:pPr>
        <w:pStyle w:val="ListParagraph"/>
        <w:numPr>
          <w:ilvl w:val="0"/>
          <w:numId w:val="1"/>
        </w:numPr>
        <w:spacing w:after="80"/>
      </w:pPr>
      <w:r>
        <w:t xml:space="preserve">Added an OpenAPI 3.0 spec (apps/api/openapi.yaml) covering all 30 REST endpoints across 9 route groups, generated from the actual route code, not guessed.</w:t>
      </w:r>
    </w:p>
    <w:p>
      <w:pPr>
        <w:pStyle w:val="ListParagraph"/>
        <w:numPr>
          <w:ilvl w:val="0"/>
          <w:numId w:val="1"/>
        </w:numPr>
        <w:spacing w:after="80"/>
      </w:pPr>
      <w:r>
        <w:t xml:space="preserve">Wired up Swagger UI (swagger-ui-express, free/open-source) at /api-docs, plus the raw spec at /openapi.json, mounted so it never depends on tenant resolution or auth — it always loads.</w:t>
      </w:r>
    </w:p>
    <w:p>
      <w:pPr>
        <w:pStyle w:val="ListParagraph"/>
        <w:numPr>
          <w:ilvl w:val="0"/>
          <w:numId w:val="1"/>
        </w:numPr>
        <w:spacing w:after="80"/>
      </w:pPr>
      <w:r>
        <w:t xml:space="preserve">Updated both Dockerfiles (root and Dockerfile.api) to ship openapi.yaml into the production image, so /api-docs works in deployed environments too, not just locally.</w:t>
      </w:r>
    </w:p>
    <w:p>
      <w:pPr>
        <w:spacing w:after="160"/>
      </w:pPr>
      <w:r>
        <w:t xml:space="preserve">The one recommendation that matters most: do not split this into microservices right now. At under 1,000 users with 1-2 developers, a services split would cost weeks of setup and ongoing operational tax (multiple deploys, network calls where function calls used to work, distributed debugging) for zero benefit — nothing here is CPU- or team-bound yet. Section 4 explains the trade-off in full and gives explicit thresholds for when to reconsider.</w:t>
      </w:r>
    </w:p>
    <w:p>
      <w:pPr>
        <w:pStyle w:val="Heading1"/>
        <w:spacing w:after="200" w:before="400"/>
      </w:pPr>
      <w:r>
        <w:t xml:space="preserve">2. Current state — what is actually in the repo today</w:t>
      </w:r>
    </w:p>
    <w:p>
      <w:pPr>
        <w:spacing w:after="160"/>
      </w:pPr>
      <w:r>
        <w:t xml:space="preserve">This section is a factual baseline, verified by reading the code (not the docs, which have some drift from reality — noted below).</w:t>
      </w:r>
    </w:p>
    <w:p>
      <w:pPr>
        <w:pStyle w:val="Heading2"/>
        <w:spacing w:after="150" w:before="300"/>
      </w:pPr>
      <w:r>
        <w:t xml:space="preserve">2.1 One process, two protocols</w:t>
      </w:r>
    </w:p>
    <w:p>
      <w:pPr>
        <w:spacing w:after="160"/>
      </w:pPr>
      <w:r>
        <w:t xml:space="preserve">apps/api runs a single Express process that serves both GraphQL (Apollo Server at /graphql, plus graphql-ws subscriptions on the same HTTP server) and a small set of hand-written REST routes under /api/*. This is intentional — the project’s own docs (docs/GRAPHQL_PLATFORM.md) state the rule explicitly: don’t add REST endpoints unless it’s a webhook, file upload, or something that genuinely doesn’t fit a GraphQL operation. The codebase follows that rule.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E8EEF7" w:val="clear"/>
          </w:tcPr>
          <w:p>
            <w:r>
              <w:rPr>
                <w:b/>
                <w:bCs/>
                <w:sz w:val="20"/>
                <w:szCs w:val="20"/>
              </w:rPr>
              <w:t xml:space="preserve">Route group</w:t>
            </w:r>
          </w:p>
        </w:tc>
        <w:tc>
          <w:tcPr>
            <w:tcW w:type="dxa" w:w="1400"/>
            <w:shd w:fill="E8EEF7" w:val="clear"/>
          </w:tcPr>
          <w:p>
            <w:r>
              <w:rPr>
                <w:b/>
                <w:bCs/>
                <w:sz w:val="20"/>
                <w:szCs w:val="20"/>
              </w:rPr>
              <w:t xml:space="preserve">Endpoints</w:t>
            </w:r>
          </w:p>
        </w:tc>
        <w:tc>
          <w:tcPr>
            <w:tcW w:type="dxa" w:w="5800"/>
            <w:shd w:fill="E8EEF7" w:val="clear"/>
          </w:tcPr>
          <w:p>
            <w:r>
              <w:rPr>
                <w:b/>
                <w:bCs/>
                <w:sz w:val="20"/>
                <w:szCs w:val="20"/>
              </w:rPr>
              <w:t xml:space="preserve">Purpose</w:t>
            </w:r>
          </w:p>
        </w:tc>
      </w:tr>
      <w:tr>
        <w:tc>
          <w:tcPr>
            <w:tcW w:type="dxa" w:w="2600"/>
          </w:tcPr>
          <w:p>
            <w:r>
              <w:rPr>
                <w:b w:val="false"/>
                <w:bCs w:val="false"/>
                <w:sz w:val="20"/>
                <w:szCs w:val="20"/>
              </w:rPr>
              <w:t xml:space="preserve">/api/auth</w:t>
            </w:r>
          </w:p>
        </w:tc>
        <w:tc>
          <w:tcPr>
            <w:tcW w:type="dxa" w:w="1400"/>
          </w:tcPr>
          <w:p>
            <w:r>
              <w:rPr>
                <w:b w:val="false"/>
                <w:bCs w:val="false"/>
                <w:sz w:val="20"/>
                <w:szCs w:val="20"/>
              </w:rPr>
              <w:t xml:space="preserve">11</w:t>
            </w:r>
          </w:p>
        </w:tc>
        <w:tc>
          <w:tcPr>
            <w:tcW w:type="dxa" w:w="5800"/>
          </w:tcPr>
          <w:p>
            <w:r>
              <w:rPr>
                <w:b w:val="false"/>
                <w:bCs w:val="false"/>
                <w:sz w:val="20"/>
                <w:szCs w:val="20"/>
              </w:rPr>
              <w:t xml:space="preserve">Login, register, refresh, logout, password reset, email verification, invites, role/activation updates</w:t>
            </w:r>
          </w:p>
        </w:tc>
      </w:tr>
      <w:tr>
        <w:tc>
          <w:tcPr>
            <w:tcW w:type="dxa" w:w="2600"/>
          </w:tcPr>
          <w:p>
            <w:r>
              <w:rPr>
                <w:b w:val="false"/>
                <w:bCs w:val="false"/>
                <w:sz w:val="20"/>
                <w:szCs w:val="20"/>
              </w:rPr>
              <w:t xml:space="preserve">/api/admin</w:t>
            </w:r>
          </w:p>
        </w:tc>
        <w:tc>
          <w:tcPr>
            <w:tcW w:type="dxa" w:w="1400"/>
          </w:tcPr>
          <w:p>
            <w:r>
              <w:rPr>
                <w:b w:val="false"/>
                <w:bCs w:val="false"/>
                <w:sz w:val="20"/>
                <w:szCs w:val="20"/>
              </w:rPr>
              <w:t xml:space="preserve">6</w:t>
            </w:r>
          </w:p>
        </w:tc>
        <w:tc>
          <w:tcPr>
            <w:tcW w:type="dxa" w:w="5800"/>
          </w:tcPr>
          <w:p>
            <w:r>
              <w:rPr>
                <w:b w:val="false"/>
                <w:bCs w:val="false"/>
                <w:sz w:val="20"/>
                <w:szCs w:val="20"/>
              </w:rPr>
              <w:t xml:space="preserve">Super-admin only: per-tenant JWT signing key management (generate, rotate, revoke, reload)</w:t>
            </w:r>
          </w:p>
        </w:tc>
      </w:tr>
      <w:tr>
        <w:tc>
          <w:tcPr>
            <w:tcW w:type="dxa" w:w="2600"/>
          </w:tcPr>
          <w:p>
            <w:r>
              <w:rPr>
                <w:b w:val="false"/>
                <w:bCs w:val="false"/>
                <w:sz w:val="20"/>
                <w:szCs w:val="20"/>
              </w:rPr>
              <w:t xml:space="preserve">/api/tenant</w:t>
            </w:r>
          </w:p>
        </w:tc>
        <w:tc>
          <w:tcPr>
            <w:tcW w:type="dxa" w:w="1400"/>
          </w:tcPr>
          <w:p>
            <w:r>
              <w:rPr>
                <w:b w:val="false"/>
                <w:bCs w:val="false"/>
                <w:sz w:val="20"/>
                <w:szCs w:val="20"/>
              </w:rPr>
              <w:t xml:space="preserve">9</w:t>
            </w:r>
          </w:p>
        </w:tc>
        <w:tc>
          <w:tcPr>
            <w:tcW w:type="dxa" w:w="5800"/>
          </w:tcPr>
          <w:p>
            <w:r>
              <w:rPr>
                <w:b w:val="false"/>
                <w:bCs w:val="false"/>
                <w:sz w:val="20"/>
                <w:szCs w:val="20"/>
              </w:rPr>
              <w:t xml:space="preserve">Current-tenant branding, security, general settings, stats, storefront config, logo upload, provisioning</w:t>
            </w:r>
          </w:p>
        </w:tc>
      </w:tr>
      <w:tr>
        <w:tc>
          <w:tcPr>
            <w:tcW w:type="dxa" w:w="2600"/>
          </w:tcPr>
          <w:p>
            <w:r>
              <w:rPr>
                <w:b w:val="false"/>
                <w:bCs w:val="false"/>
                <w:sz w:val="20"/>
                <w:szCs w:val="20"/>
              </w:rPr>
              <w:t xml:space="preserve">/api/tenant-config</w:t>
            </w:r>
          </w:p>
        </w:tc>
        <w:tc>
          <w:tcPr>
            <w:tcW w:type="dxa" w:w="1400"/>
          </w:tcPr>
          <w:p>
            <w:r>
              <w:rPr>
                <w:b w:val="false"/>
                <w:bCs w:val="false"/>
                <w:sz w:val="20"/>
                <w:szCs w:val="20"/>
              </w:rPr>
              <w:t xml:space="preserve">3</w:t>
            </w:r>
          </w:p>
        </w:tc>
        <w:tc>
          <w:tcPr>
            <w:tcW w:type="dxa" w:w="5800"/>
          </w:tcPr>
          <w:p>
            <w:r>
              <w:rPr>
                <w:b w:val="false"/>
                <w:bCs w:val="false"/>
                <w:sz w:val="20"/>
                <w:szCs w:val="20"/>
              </w:rPr>
              <w:t xml:space="preserve">Public, unauthenticated tenant theme/branding lookups (used before login)</w:t>
            </w:r>
          </w:p>
        </w:tc>
      </w:tr>
      <w:tr>
        <w:tc>
          <w:tcPr>
            <w:tcW w:type="dxa" w:w="2600"/>
          </w:tcPr>
          <w:p>
            <w:r>
              <w:rPr>
                <w:b w:val="false"/>
                <w:bCs w:val="false"/>
                <w:sz w:val="20"/>
                <w:szCs w:val="20"/>
              </w:rPr>
              <w:t xml:space="preserve">/api/billing</w:t>
            </w:r>
          </w:p>
        </w:tc>
        <w:tc>
          <w:tcPr>
            <w:tcW w:type="dxa" w:w="1400"/>
          </w:tcPr>
          <w:p>
            <w:r>
              <w:rPr>
                <w:b w:val="false"/>
                <w:bCs w:val="false"/>
                <w:sz w:val="20"/>
                <w:szCs w:val="20"/>
              </w:rPr>
              <w:t xml:space="preserve">2</w:t>
            </w:r>
          </w:p>
        </w:tc>
        <w:tc>
          <w:tcPr>
            <w:tcW w:type="dxa" w:w="5800"/>
          </w:tcPr>
          <w:p>
            <w:r>
              <w:rPr>
                <w:b w:val="false"/>
                <w:bCs w:val="false"/>
                <w:sz w:val="20"/>
                <w:szCs w:val="20"/>
              </w:rPr>
              <w:t xml:space="preserve">Plan lookup + Stripe webhook (raw-body, signature-verified)</w:t>
            </w:r>
          </w:p>
        </w:tc>
      </w:tr>
      <w:tr>
        <w:tc>
          <w:tcPr>
            <w:tcW w:type="dxa" w:w="2600"/>
          </w:tcPr>
          <w:p>
            <w:r>
              <w:rPr>
                <w:b w:val="false"/>
                <w:bCs w:val="false"/>
                <w:sz w:val="20"/>
                <w:szCs w:val="20"/>
              </w:rPr>
              <w:t xml:space="preserve">/api/jobs</w:t>
            </w:r>
          </w:p>
        </w:tc>
        <w:tc>
          <w:tcPr>
            <w:tcW w:type="dxa" w:w="1400"/>
          </w:tcPr>
          <w:p>
            <w:r>
              <w:rPr>
                <w:b w:val="false"/>
                <w:bCs w:val="false"/>
                <w:sz w:val="20"/>
                <w:szCs w:val="20"/>
              </w:rPr>
              <w:t xml:space="preserve">1</w:t>
            </w:r>
          </w:p>
        </w:tc>
        <w:tc>
          <w:tcPr>
            <w:tcW w:type="dxa" w:w="5800"/>
          </w:tcPr>
          <w:p>
            <w:r>
              <w:rPr>
                <w:b w:val="false"/>
                <w:bCs w:val="false"/>
                <w:sz w:val="20"/>
                <w:szCs w:val="20"/>
              </w:rPr>
              <w:t xml:space="preserve">Cron-triggered listing-reminder sweep, shared-secret auth (x-jobs-key)</w:t>
            </w:r>
          </w:p>
        </w:tc>
      </w:tr>
      <w:tr>
        <w:tc>
          <w:tcPr>
            <w:tcW w:type="dxa" w:w="2600"/>
          </w:tcPr>
          <w:p>
            <w:r>
              <w:rPr>
                <w:b w:val="false"/>
                <w:bCs w:val="false"/>
                <w:sz w:val="20"/>
                <w:szCs w:val="20"/>
              </w:rPr>
              <w:t xml:space="preserve">/api/notifications</w:t>
            </w:r>
          </w:p>
        </w:tc>
        <w:tc>
          <w:tcPr>
            <w:tcW w:type="dxa" w:w="1400"/>
          </w:tcPr>
          <w:p>
            <w:r>
              <w:rPr>
                <w:b w:val="false"/>
                <w:bCs w:val="false"/>
                <w:sz w:val="20"/>
                <w:szCs w:val="20"/>
              </w:rPr>
              <w:t xml:space="preserve">2</w:t>
            </w:r>
          </w:p>
        </w:tc>
        <w:tc>
          <w:tcPr>
            <w:tcW w:type="dxa" w:w="5800"/>
          </w:tcPr>
          <w:p>
            <w:r>
              <w:rPr>
                <w:b w:val="false"/>
                <w:bCs w:val="false"/>
                <w:sz w:val="20"/>
                <w:szCs w:val="20"/>
              </w:rPr>
              <w:t xml:space="preserve">Email template listing + per-tenant overrides</w:t>
            </w:r>
          </w:p>
        </w:tc>
      </w:tr>
      <w:tr>
        <w:tc>
          <w:tcPr>
            <w:tcW w:type="dxa" w:w="2600"/>
          </w:tcPr>
          <w:p>
            <w:r>
              <w:rPr>
                <w:b w:val="false"/>
                <w:bCs w:val="false"/>
                <w:sz w:val="20"/>
                <w:szCs w:val="20"/>
              </w:rPr>
              <w:t xml:space="preserve">/api/security</w:t>
            </w:r>
          </w:p>
        </w:tc>
        <w:tc>
          <w:tcPr>
            <w:tcW w:type="dxa" w:w="1400"/>
          </w:tcPr>
          <w:p>
            <w:r>
              <w:rPr>
                <w:b w:val="false"/>
                <w:bCs w:val="false"/>
                <w:sz w:val="20"/>
                <w:szCs w:val="20"/>
              </w:rPr>
              <w:t xml:space="preserve">2</w:t>
            </w:r>
          </w:p>
        </w:tc>
        <w:tc>
          <w:tcPr>
            <w:tcW w:type="dxa" w:w="5800"/>
          </w:tcPr>
          <w:p>
            <w:r>
              <w:rPr>
                <w:b w:val="false"/>
                <w:bCs w:val="false"/>
                <w:sz w:val="20"/>
                <w:szCs w:val="20"/>
              </w:rPr>
              <w:t xml:space="preserve">SCIM provisioning status + token issuance</w:t>
            </w:r>
          </w:p>
        </w:tc>
      </w:tr>
      <w:tr>
        <w:tc>
          <w:tcPr>
            <w:tcW w:type="dxa" w:w="2600"/>
          </w:tcPr>
          <w:p>
            <w:r>
              <w:rPr>
                <w:b w:val="false"/>
                <w:bCs w:val="false"/>
                <w:sz w:val="20"/>
                <w:szCs w:val="20"/>
              </w:rPr>
              <w:t xml:space="preserve">/api/commerce</w:t>
            </w:r>
          </w:p>
        </w:tc>
        <w:tc>
          <w:tcPr>
            <w:tcW w:type="dxa" w:w="1400"/>
          </w:tcPr>
          <w:p>
            <w:r>
              <w:rPr>
                <w:b w:val="false"/>
                <w:bCs w:val="false"/>
                <w:sz w:val="20"/>
                <w:szCs w:val="20"/>
              </w:rPr>
              <w:t xml:space="preserve">1</w:t>
            </w:r>
          </w:p>
        </w:tc>
        <w:tc>
          <w:tcPr>
            <w:tcW w:type="dxa" w:w="5800"/>
          </w:tcPr>
          <w:p>
            <w:r>
              <w:rPr>
                <w:b w:val="false"/>
                <w:bCs w:val="false"/>
                <w:sz w:val="20"/>
                <w:szCs w:val="20"/>
              </w:rPr>
              <w:t xml:space="preserve">External order-status webhook receiver</w:t>
            </w:r>
          </w:p>
        </w:tc>
      </w:tr>
      <w:tr>
        <w:tc>
          <w:tcPr>
            <w:tcW w:type="dxa" w:w="2600"/>
          </w:tcPr>
          <w:p>
            <w:r>
              <w:rPr>
                <w:b w:val="false"/>
                <w:bCs w:val="false"/>
                <w:sz w:val="20"/>
                <w:szCs w:val="20"/>
              </w:rPr>
              <w:t xml:space="preserve">/health</w:t>
            </w:r>
          </w:p>
        </w:tc>
        <w:tc>
          <w:tcPr>
            <w:tcW w:type="dxa" w:w="1400"/>
          </w:tcPr>
          <w:p>
            <w:r>
              <w:rPr>
                <w:b w:val="false"/>
                <w:bCs w:val="false"/>
                <w:sz w:val="20"/>
                <w:szCs w:val="20"/>
              </w:rPr>
              <w:t xml:space="preserve">1</w:t>
            </w:r>
          </w:p>
        </w:tc>
        <w:tc>
          <w:tcPr>
            <w:tcW w:type="dxa" w:w="5800"/>
          </w:tcPr>
          <w:p>
            <w:r>
              <w:rPr>
                <w:b w:val="false"/>
                <w:bCs w:val="false"/>
                <w:sz w:val="20"/>
                <w:szCs w:val="20"/>
              </w:rPr>
              <w:t xml:space="preserve">Liveness check for Docker/Render</w:t>
            </w:r>
          </w:p>
        </w:tc>
      </w:tr>
    </w:tbl>
    <w:p>
      <w:pPr>
        <w:spacing w:after="160"/>
      </w:pPr>
      <w:r>
        <w:t xml:space="preserve"/>
      </w:r>
    </w:p>
    <w:p>
      <w:pPr>
        <w:spacing w:after="160"/>
      </w:pPr>
      <w:r>
        <w:t xml:space="preserve">Everything else — courses, enrollments, orders, listings, automations, analytics, dashboards, groups, certificates — is GraphQL, organized as 24+ per-domain schema folders under apps/api/src/schema/, merged into one executable schema. Every resolver is wrapped by a central auth policy (secureResolvers()) that requires authentication by default, with an explicit allow-list for the handful of public queries/mutations. This is a good pattern: new domains can’t accidentally ship unauthenticated by omission.</w:t>
      </w:r>
    </w:p>
    <w:p>
      <w:pPr>
        <w:pStyle w:val="Heading2"/>
        <w:spacing w:after="150" w:before="300"/>
      </w:pPr>
      <w:r>
        <w:t xml:space="preserve">2.2 Multi-tenancy and auth (validated, no changes recommended)</w:t>
      </w:r>
    </w:p>
    <w:p>
      <w:pPr>
        <w:spacing w:after="160"/>
      </w:pPr>
      <w:r>
        <w:t xml:space="preserve">Single shared MongoDB, tenant isolation enforced by a required tenant field plus compound indexes on every collection, with a documented three-part contract every service must follow (read tenant from context, scope every query, assert cross-entity ownership before touching related records). This is the standard, correct approach for early-stage multi-tenant SaaS — per-tenant databases would add real operational cost (backups, migrations, connection pools multiplied by tenant count) with no benefit at this scale.</w:t>
      </w:r>
    </w:p>
    <w:p>
      <w:pPr>
        <w:spacing w:after="160"/>
      </w:pPr>
      <w:r>
        <w:t xml:space="preserve">Auth is JWT access tokens (per-tenant signing key, so one tenant’s compromised secret can’t forge tokens for another) plus an httpOnly refresh cookie, and the REST and GraphQL login/register paths share the exact same token-issuing code — so web and mobile get identical behavior. Mobile stores the access token in Expo SecureStore and sends the same Authorization + x-tenant headers as web.</w:t>
      </w:r>
    </w:p>
    <w:p>
      <w:pPr>
        <w:spacing w:after="160"/>
      </w:pPr>
      <w:r>
        <w:rPr>
          <w:b/>
          <w:bCs/>
        </w:rPr>
        <w:t xml:space="preserve">Worth verifying, not yet confirmed broken: </w:t>
      </w:r>
      <w:r>
        <w:t xml:space="preserve">the refresh flow relies on an httpOnly cookie, which browsers attach automatically but React Native/Expo does not, by default, the same way. Confirm apps/mobile actually has a working refresh path before shipping mobile more broadly — if it doesn’t, the fix is a small one (return the refresh token in the JSON body for non-browser clients, store it in SecureStore alongside the access token), but it should be verified rather than assumed.</w:t>
      </w:r>
    </w:p>
    <w:p>
      <w:pPr>
        <w:pStyle w:val="Heading2"/>
        <w:spacing w:after="150" w:before="300"/>
      </w:pPr>
      <w:r>
        <w:t xml:space="preserve">2.3 Issues found while researching this doc</w:t>
      </w:r>
    </w:p>
    <w:p>
      <w:pPr>
        <w:spacing w:after="160"/>
      </w:pPr>
      <w:r>
        <w:t xml:space="preserve">None of these block anything today; all are cheap to fix and worth doing before the API surface grows further.</w:t>
      </w:r>
    </w:p>
    <w:p>
      <w:pPr>
        <w:pStyle w:val="ListParagraph"/>
        <w:numPr>
          <w:ilvl w:val="0"/>
          <w:numId w:val="1"/>
        </w:numPr>
        <w:spacing w:after="80"/>
      </w:pPr>
      <w:r>
        <w:t xml:space="preserve">apps/api/src/routes/commerceCart.ts defines two endpoints that are never imported into app.ts — dead code. Either wire it up or delete it.</w:t>
      </w:r>
    </w:p>
    <w:p>
      <w:pPr>
        <w:pStyle w:val="ListParagraph"/>
        <w:numPr>
          <w:ilvl w:val="0"/>
          <w:numId w:val="1"/>
        </w:numPr>
        <w:spacing w:after="80"/>
      </w:pPr>
      <w:r>
        <w:t xml:space="preserve">Two render.yaml files exist (repo root and deploy/platforms/render.yaml) and have diverged — different Dockerfile paths and different env var sets. Pick one as canonical (deploy/platforms/render.yaml is the more complete of the two) and delete or clearly label the other as historical.</w:t>
      </w:r>
    </w:p>
    <w:p>
      <w:pPr>
        <w:pStyle w:val="ListParagraph"/>
        <w:numPr>
          <w:ilvl w:val="0"/>
          <w:numId w:val="1"/>
        </w:numPr>
        <w:spacing w:after="80"/>
      </w:pPr>
      <w:r>
        <w:t xml:space="preserve">Dockerfile.api bakes a build-time ARG TENANT=demo into the image via scripts/select-tenant.js, but the API resolves tenant per-request at runtime from the subdomain/x-tenant header everywhere else in the code. For the API image specifically, this build-time tenant selection shouldn’t matter (the API is meant to be tenant-agnostic), but it’s worth confirming select-tenant.js doesn’t silently scope anything API-side to just the demo tenant before this matters more.</w:t>
      </w:r>
    </w:p>
    <w:p>
      <w:pPr>
        <w:pStyle w:val="ListParagraph"/>
        <w:numPr>
          <w:ilvl w:val="0"/>
          <w:numId w:val="1"/>
        </w:numPr>
        <w:spacing w:after="80"/>
      </w:pPr>
      <w:r>
        <w:t xml:space="preserve">docs/GRAPHQL_PLATFORM.md and docs/ARCHITECTURE.md both describe mobile as “planned/future.” It isn’t — apps/mobile is a working Expo Router app with auth, courses, and an Apollo client already wired up the way the docs prescribe. Update the docs so the next person (or the next AI agent reading AGENTS.md) doesn’t re-plan something that already exists.</w:t>
      </w:r>
    </w:p>
    <w:p>
      <w:pPr>
        <w:pStyle w:val="Heading1"/>
        <w:spacing w:after="200" w:before="400"/>
      </w:pPr>
      <w:r>
        <w:t xml:space="preserve">3. Requirements this design is optimizing for</w:t>
      </w:r>
    </w:p>
    <w:p>
      <w:pPr>
        <w:pStyle w:val="Heading2"/>
        <w:spacing w:after="150" w:before="300"/>
      </w:pPr>
      <w:r>
        <w:t xml:space="preserve">3.1 Functional</w:t>
      </w:r>
    </w:p>
    <w:p>
      <w:pPr>
        <w:pStyle w:val="ListParagraph"/>
        <w:numPr>
          <w:ilvl w:val="0"/>
          <w:numId w:val="1"/>
        </w:numPr>
        <w:spacing w:after="80"/>
      </w:pPr>
      <w:r>
        <w:t xml:space="preserve">One backend contract consumed by both apps/web (Next.js) and apps/mobile (Expo) — no drift between what each client can do.</w:t>
      </w:r>
    </w:p>
    <w:p>
      <w:pPr>
        <w:pStyle w:val="ListParagraph"/>
        <w:numPr>
          <w:ilvl w:val="0"/>
          <w:numId w:val="1"/>
        </w:numPr>
        <w:spacing w:after="80"/>
      </w:pPr>
      <w:r>
        <w:t xml:space="preserve">Multi-tenant from day one (subdomain-based), with billing/plan gates and a business-listing marketplace already modeled.</w:t>
      </w:r>
    </w:p>
    <w:p>
      <w:pPr>
        <w:pStyle w:val="ListParagraph"/>
        <w:numPr>
          <w:ilvl w:val="0"/>
          <w:numId w:val="1"/>
        </w:numPr>
        <w:spacing w:after="80"/>
      </w:pPr>
      <w:r>
        <w:t xml:space="preserve">AI/Agent Studio, MCP server, and agent-worker are explicitly out of scope for this document — they already live in their own deployables (apps/mcp-server, apps/agent-worker) and are correctly excluded from the free-tier path per the existing docs.</w:t>
      </w:r>
    </w:p>
    <w:p>
      <w:pPr>
        <w:pStyle w:val="Heading2"/>
        <w:spacing w:after="150" w:before="300"/>
      </w:pPr>
      <w:r>
        <w:t xml:space="preserve">3.2 Non-functional</w:t>
      </w:r>
    </w:p>
    <w:p>
      <w:pPr>
        <w:pStyle w:val="ListParagraph"/>
        <w:numPr>
          <w:ilvl w:val="0"/>
          <w:numId w:val="1"/>
        </w:numPr>
        <w:spacing w:after="80"/>
      </w:pPr>
      <w:r>
        <w:t xml:space="preserve">Team: 1-2 developers. No dedicated ops/SRE. Anything that requires a rotation, a service mesh, or more than one place to look when something breaks is a cost, not a feature, right now.</w:t>
      </w:r>
    </w:p>
    <w:p>
      <w:pPr>
        <w:pStyle w:val="ListParagraph"/>
        <w:numPr>
          <w:ilvl w:val="0"/>
          <w:numId w:val="1"/>
        </w:numPr>
        <w:spacing w:after="80"/>
      </w:pPr>
      <w:r>
        <w:t xml:space="preserve">Scale: under 1,000 users, a handful of tenants. This is comfortably within a single small process and a free-tier database.</w:t>
      </w:r>
    </w:p>
    <w:p>
      <w:pPr>
        <w:pStyle w:val="ListParagraph"/>
        <w:numPr>
          <w:ilvl w:val="0"/>
          <w:numId w:val="1"/>
        </w:numPr>
        <w:spacing w:after="80"/>
      </w:pPr>
      <w:r>
        <w:t xml:space="preserve">Budget: $0 target. Every infrastructure choice needs a real free tier, not a “free trial.”</w:t>
      </w:r>
    </w:p>
    <w:p>
      <w:pPr>
        <w:pStyle w:val="ListParagraph"/>
        <w:numPr>
          <w:ilvl w:val="0"/>
          <w:numId w:val="1"/>
        </w:numPr>
        <w:spacing w:after="80"/>
      </w:pPr>
      <w:r>
        <w:t xml:space="preserve">Stability for frontend work: a frontend developer (possibly the same person, wearing a different hat) needs to add a field or a screen without needing to understand tenant-scoping internals, and without the API contract shifting under them.</w:t>
      </w:r>
    </w:p>
    <w:p>
      <w:pPr>
        <w:pStyle w:val="Heading1"/>
        <w:spacing w:after="200" w:before="400"/>
      </w:pPr>
      <w:r>
        <w:t xml:space="preserve">4. The core decision: modular monolith, not microservices</w:t>
      </w:r>
    </w:p>
    <w:p>
      <w:pPr>
        <w:spacing w:after="160"/>
      </w:pPr>
      <w:r>
        <w:t xml:space="preserve">This is the question you asked me to analyze directly, so here is the trade-off, not just the conclusion.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500"/>
      </w:tblGrid>
      <w:tr>
        <w:tc>
          <w:tcPr>
            <w:tcW w:type="dxa" w:w="3000"/>
            <w:shd w:fill="E8EEF7" w:val="clear"/>
          </w:tcPr>
          <w:p>
            <w:r>
              <w:rPr>
                <w:b/>
                <w:bCs/>
                <w:sz w:val="20"/>
                <w:szCs w:val="20"/>
              </w:rPr>
              <w:t xml:space="preserve"/>
            </w:r>
          </w:p>
        </w:tc>
        <w:tc>
          <w:tcPr>
            <w:tcW w:type="dxa" w:w="3300"/>
            <w:shd w:fill="E8EEF7" w:val="clear"/>
          </w:tcPr>
          <w:p>
            <w:r>
              <w:rPr>
                <w:b/>
                <w:bCs/>
                <w:sz w:val="20"/>
                <w:szCs w:val="20"/>
              </w:rPr>
              <w:t xml:space="preserve">GraphQL modular monolith (current)</w:t>
            </w:r>
          </w:p>
        </w:tc>
        <w:tc>
          <w:tcPr>
            <w:tcW w:type="dxa" w:w="3500"/>
            <w:shd w:fill="E8EEF7" w:val="clear"/>
          </w:tcPr>
          <w:p>
            <w:r>
              <w:rPr>
                <w:b/>
                <w:bCs/>
                <w:sz w:val="20"/>
                <w:szCs w:val="20"/>
              </w:rPr>
              <w:t xml:space="preserve">Microservices split</w:t>
            </w:r>
          </w:p>
        </w:tc>
      </w:tr>
      <w:tr>
        <w:tc>
          <w:tcPr>
            <w:tcW w:type="dxa" w:w="3000"/>
            <w:shd w:fill="E8EEF7" w:val="clear"/>
          </w:tcPr>
          <w:p>
            <w:r>
              <w:rPr>
                <w:b/>
                <w:bCs/>
                <w:sz w:val="20"/>
                <w:szCs w:val="20"/>
              </w:rPr>
              <w:t xml:space="preserve">Setup cost</w:t>
            </w:r>
          </w:p>
        </w:tc>
        <w:tc>
          <w:tcPr>
            <w:tcW w:type="dxa" w:w="3300"/>
          </w:tcPr>
          <w:p>
            <w:r>
              <w:rPr>
                <w:b w:val="false"/>
                <w:bCs w:val="false"/>
                <w:sz w:val="20"/>
                <w:szCs w:val="20"/>
              </w:rPr>
              <w:t xml:space="preserve">Zero — already built</w:t>
            </w:r>
          </w:p>
        </w:tc>
        <w:tc>
          <w:tcPr>
            <w:tcW w:type="dxa" w:w="3500"/>
          </w:tcPr>
          <w:p>
            <w:r>
              <w:rPr>
                <w:b w:val="false"/>
                <w:bCs w:val="false"/>
                <w:sz w:val="20"/>
                <w:szCs w:val="20"/>
              </w:rPr>
              <w:t xml:space="preserve">Weeks: service boundaries, inter-service auth, shared-type strategy, per-service CI/CD</w:t>
            </w:r>
          </w:p>
        </w:tc>
      </w:tr>
      <w:tr>
        <w:tc>
          <w:tcPr>
            <w:tcW w:type="dxa" w:w="3000"/>
            <w:shd w:fill="E8EEF7" w:val="clear"/>
          </w:tcPr>
          <w:p>
            <w:r>
              <w:rPr>
                <w:b/>
                <w:bCs/>
                <w:sz w:val="20"/>
                <w:szCs w:val="20"/>
              </w:rPr>
              <w:t xml:space="preserve">Ops burden for 1-2 devs</w:t>
            </w:r>
          </w:p>
        </w:tc>
        <w:tc>
          <w:tcPr>
            <w:tcW w:type="dxa" w:w="3300"/>
          </w:tcPr>
          <w:p>
            <w:r>
              <w:rPr>
                <w:b w:val="false"/>
                <w:bCs w:val="false"/>
                <w:sz w:val="20"/>
                <w:szCs w:val="20"/>
              </w:rPr>
              <w:t xml:space="preserve">One process to run, log, and deploy</w:t>
            </w:r>
          </w:p>
        </w:tc>
        <w:tc>
          <w:tcPr>
            <w:tcW w:type="dxa" w:w="3500"/>
          </w:tcPr>
          <w:p>
            <w:r>
              <w:rPr>
                <w:b w:val="false"/>
                <w:bCs w:val="false"/>
                <w:sz w:val="20"/>
                <w:szCs w:val="20"/>
              </w:rPr>
              <w:t xml:space="preserve">N processes, N sets of logs, network failures between services to debug</w:t>
            </w:r>
          </w:p>
        </w:tc>
      </w:tr>
      <w:tr>
        <w:tc>
          <w:tcPr>
            <w:tcW w:type="dxa" w:w="3000"/>
            <w:shd w:fill="E8EEF7" w:val="clear"/>
          </w:tcPr>
          <w:p>
            <w:r>
              <w:rPr>
                <w:b/>
                <w:bCs/>
                <w:sz w:val="20"/>
                <w:szCs w:val="20"/>
              </w:rPr>
              <w:t xml:space="preserve">Free-tier fit</w:t>
            </w:r>
          </w:p>
        </w:tc>
        <w:tc>
          <w:tcPr>
            <w:tcW w:type="dxa" w:w="3300"/>
          </w:tcPr>
          <w:p>
            <w:r>
              <w:rPr>
                <w:b w:val="false"/>
                <w:bCs w:val="false"/>
                <w:sz w:val="20"/>
                <w:szCs w:val="20"/>
              </w:rPr>
              <w:t xml:space="preserve">One Render free web service covers the whole API</w:t>
            </w:r>
          </w:p>
        </w:tc>
        <w:tc>
          <w:tcPr>
            <w:tcW w:type="dxa" w:w="3500"/>
          </w:tcPr>
          <w:p>
            <w:r>
              <w:rPr>
                <w:b w:val="false"/>
                <w:bCs w:val="false"/>
                <w:sz w:val="20"/>
                <w:szCs w:val="20"/>
              </w:rPr>
              <w:t xml:space="preserve">Each service is a separate Render free instance — free tier limits (750 hrs/mo shared account-wide, cold starts) get worse per-service, not better</w:t>
            </w:r>
          </w:p>
        </w:tc>
      </w:tr>
      <w:tr>
        <w:tc>
          <w:tcPr>
            <w:tcW w:type="dxa" w:w="3000"/>
            <w:shd w:fill="E8EEF7" w:val="clear"/>
          </w:tcPr>
          <w:p>
            <w:r>
              <w:rPr>
                <w:b/>
                <w:bCs/>
                <w:sz w:val="20"/>
                <w:szCs w:val="20"/>
              </w:rPr>
              <w:t xml:space="preserve">Latency</w:t>
            </w:r>
          </w:p>
        </w:tc>
        <w:tc>
          <w:tcPr>
            <w:tcW w:type="dxa" w:w="3300"/>
          </w:tcPr>
          <w:p>
            <w:r>
              <w:rPr>
                <w:b w:val="false"/>
                <w:bCs w:val="false"/>
                <w:sz w:val="20"/>
                <w:szCs w:val="20"/>
              </w:rPr>
              <w:t xml:space="preserve">In-process function calls between domains</w:t>
            </w:r>
          </w:p>
        </w:tc>
        <w:tc>
          <w:tcPr>
            <w:tcW w:type="dxa" w:w="3500"/>
          </w:tcPr>
          <w:p>
            <w:r>
              <w:rPr>
                <w:b w:val="false"/>
                <w:bCs w:val="false"/>
                <w:sz w:val="20"/>
                <w:szCs w:val="20"/>
              </w:rPr>
              <w:t xml:space="preserve">Network hops between services for anything cross-domain (e.g. an order touching billing + listings + notifications)</w:t>
            </w:r>
          </w:p>
        </w:tc>
      </w:tr>
      <w:tr>
        <w:tc>
          <w:tcPr>
            <w:tcW w:type="dxa" w:w="3000"/>
            <w:shd w:fill="E8EEF7" w:val="clear"/>
          </w:tcPr>
          <w:p>
            <w:r>
              <w:rPr>
                <w:b/>
                <w:bCs/>
                <w:sz w:val="20"/>
                <w:szCs w:val="20"/>
              </w:rPr>
              <w:t xml:space="preserve">Failure isolation</w:t>
            </w:r>
          </w:p>
        </w:tc>
        <w:tc>
          <w:tcPr>
            <w:tcW w:type="dxa" w:w="3300"/>
          </w:tcPr>
          <w:p>
            <w:r>
              <w:rPr>
                <w:b w:val="false"/>
                <w:bCs w:val="false"/>
                <w:sz w:val="20"/>
                <w:szCs w:val="20"/>
              </w:rPr>
              <w:t xml:space="preserve">A bug in one domain can, in theory, affect the process — mitigated by the existing per-domain resolver/service boundaries</w:t>
            </w:r>
          </w:p>
        </w:tc>
        <w:tc>
          <w:tcPr>
            <w:tcW w:type="dxa" w:w="3500"/>
          </w:tcPr>
          <w:p>
            <w:r>
              <w:rPr>
                <w:b w:val="false"/>
                <w:bCs w:val="false"/>
                <w:sz w:val="20"/>
                <w:szCs w:val="20"/>
              </w:rPr>
              <w:t xml:space="preserve">Real isolation, but only matters once one domain has a genuinely different reliability or scaling profile than the rest</w:t>
            </w:r>
          </w:p>
        </w:tc>
      </w:tr>
      <w:tr>
        <w:tc>
          <w:tcPr>
            <w:tcW w:type="dxa" w:w="3000"/>
            <w:shd w:fill="E8EEF7" w:val="clear"/>
          </w:tcPr>
          <w:p>
            <w:r>
              <w:rPr>
                <w:b/>
                <w:bCs/>
                <w:sz w:val="20"/>
                <w:szCs w:val="20"/>
              </w:rPr>
              <w:t xml:space="preserve">Team fit</w:t>
            </w:r>
          </w:p>
        </w:tc>
        <w:tc>
          <w:tcPr>
            <w:tcW w:type="dxa" w:w="3300"/>
          </w:tcPr>
          <w:p>
            <w:r>
              <w:rPr>
                <w:b w:val="false"/>
                <w:bCs w:val="false"/>
                <w:sz w:val="20"/>
                <w:szCs w:val="20"/>
              </w:rPr>
              <w:t xml:space="preserve">Matches a 1-2 person team exactly</w:t>
            </w:r>
          </w:p>
        </w:tc>
        <w:tc>
          <w:tcPr>
            <w:tcW w:type="dxa" w:w="3500"/>
          </w:tcPr>
          <w:p>
            <w:r>
              <w:rPr>
                <w:b w:val="false"/>
                <w:bCs w:val="false"/>
                <w:sz w:val="20"/>
                <w:szCs w:val="20"/>
              </w:rPr>
              <w:t xml:space="preserve">Pays off once separate squads each own a domain and need independent release cadences</w:t>
            </w:r>
          </w:p>
        </w:tc>
      </w:tr>
      <w:tr>
        <w:tc>
          <w:tcPr>
            <w:tcW w:type="dxa" w:w="3000"/>
            <w:shd w:fill="E8EEF7" w:val="clear"/>
          </w:tcPr>
          <w:p>
            <w:r>
              <w:rPr>
                <w:b/>
                <w:bCs/>
                <w:sz w:val="20"/>
                <w:szCs w:val="20"/>
              </w:rPr>
              <w:t xml:space="preserve">Frontend contract stability</w:t>
            </w:r>
          </w:p>
        </w:tc>
        <w:tc>
          <w:tcPr>
            <w:tcW w:type="dxa" w:w="3300"/>
          </w:tcPr>
          <w:p>
            <w:r>
              <w:rPr>
                <w:b w:val="false"/>
                <w:bCs w:val="false"/>
                <w:sz w:val="20"/>
                <w:szCs w:val="20"/>
              </w:rPr>
              <w:t xml:space="preserve">One schema, one endpoint, introspectable — GraphQL Code Generator can produce typed clients automatically</w:t>
            </w:r>
          </w:p>
        </w:tc>
        <w:tc>
          <w:tcPr>
            <w:tcW w:type="dxa" w:w="3500"/>
          </w:tcPr>
          <w:p>
            <w:r>
              <w:rPr>
                <w:b w:val="false"/>
                <w:bCs w:val="false"/>
                <w:sz w:val="20"/>
                <w:szCs w:val="20"/>
              </w:rPr>
              <w:t xml:space="preserve">Either a federated gateway (extra moving part) or the frontend now talks to N endpoints</w:t>
            </w:r>
          </w:p>
        </w:tc>
      </w:tr>
    </w:tbl>
    <w:p>
      <w:pPr>
        <w:spacing w:after="160"/>
      </w:pPr>
      <w:r>
        <w:t xml:space="preserve"/>
      </w:r>
    </w:p>
    <w:p>
      <w:pPr>
        <w:spacing w:after="160"/>
      </w:pPr>
      <w:r>
        <w:rPr>
          <w:b/>
          <w:bCs/>
        </w:rPr>
        <w:t xml:space="preserve">Recommendation: </w:t>
      </w:r>
      <w:r>
        <w:t xml:space="preserve">keep the modular monolith. The existing code already has the internal seams (one schema folder + one service file per domain in apps/api/src/schema/*) that a future extraction would need — that structure is doing its job as “microservices-ready, without paying for microservices today.” Nothing here is a dead end; it’s the correct intermediate step.</w:t>
      </w:r>
    </w:p>
    <w:p>
      <w:pPr>
        <w:pStyle w:val="Heading2"/>
        <w:spacing w:after="150" w:before="300"/>
      </w:pPr>
      <w:r>
        <w:t xml:space="preserve">4.1 Graduation triggers — concrete signals to revisit this</w:t>
      </w:r>
    </w:p>
    <w:p>
      <w:pPr>
        <w:spacing w:after="160"/>
      </w:pPr>
      <w:r>
        <w:t xml:space="preserve">Don’t split because it feels more “professional.” Split when one of these is actually true:</w:t>
      </w:r>
    </w:p>
    <w:p>
      <w:pPr>
        <w:pStyle w:val="ListParagraph"/>
        <w:numPr>
          <w:ilvl w:val="0"/>
          <w:numId w:val="1"/>
        </w:numPr>
        <w:spacing w:after="80"/>
      </w:pPr>
      <w:r>
        <w:t xml:space="preserve">A specific domain (most likely billing/commerce, given webhook load) needs to scale or deploy independently of the rest — e.g. Stripe webhook volume grows enough that you don’t want a slow course-import job blocking payment processing.</w:t>
      </w:r>
    </w:p>
    <w:p>
      <w:pPr>
        <w:pStyle w:val="ListParagraph"/>
        <w:numPr>
          <w:ilvl w:val="0"/>
          <w:numId w:val="1"/>
        </w:numPr>
        <w:spacing w:after="80"/>
      </w:pPr>
      <w:r>
        <w:t xml:space="preserve">The team grows past ~4-5 engineers organized into domain-owning squads, and coordinating one shared deploy becomes the bottleneck, not the code.</w:t>
      </w:r>
    </w:p>
    <w:p>
      <w:pPr>
        <w:pStyle w:val="ListParagraph"/>
        <w:numPr>
          <w:ilvl w:val="0"/>
          <w:numId w:val="1"/>
        </w:numPr>
        <w:spacing w:after="80"/>
      </w:pPr>
      <w:r>
        <w:t xml:space="preserve">You need a different runtime for one workload (e.g. a Python service for ML-heavy analytics) that doesn’t fit Node/TypeScript.</w:t>
      </w:r>
    </w:p>
    <w:p>
      <w:pPr>
        <w:pStyle w:val="ListParagraph"/>
        <w:numPr>
          <w:ilvl w:val="0"/>
          <w:numId w:val="1"/>
        </w:numPr>
        <w:spacing w:after="80"/>
      </w:pPr>
      <w:r>
        <w:t xml:space="preserve">A single Render free instance is no longer enough (see §6.1) and you’re horizontally scaling the API anyway — at that point, splitting the highest-load domain out is a smaller step than it would be today.</w:t>
      </w:r>
    </w:p>
    <w:p>
      <w:pPr>
        <w:spacing w:after="160"/>
      </w:pPr>
      <w:r>
        <w:t xml:space="preserve">If/when that day comes: the existing per-domain schema+service pairing is exactly what Apollo Federation (still free, open-source) is designed to split along — each domain folder becomes a subgraph, with a lightweight gateway in front. That’s a migration measured in days, not a rewrite, because the domain boundaries already exist in the code.</w:t>
      </w:r>
    </w:p>
    <w:p>
      <w:pPr>
        <w:pStyle w:val="Heading1"/>
        <w:spacing w:after="200" w:before="400"/>
      </w:pPr>
      <w:r>
        <w:t xml:space="preserve">5. API documentation strategy (what this project implemented)</w:t>
      </w:r>
    </w:p>
    <w:p>
      <w:pPr>
        <w:pStyle w:val="Heading2"/>
        <w:spacing w:after="150" w:before="300"/>
      </w:pPr>
      <w:r>
        <w:t xml:space="preserve">5.1 REST — OpenAPI / Swagger (new)</w:t>
      </w:r>
    </w:p>
    <w:p>
      <w:pPr>
        <w:spacing w:after="160"/>
      </w:pPr>
      <w:r>
        <w:t xml:space="preserve">apps/api/openapi.yaml is a hand-written OpenAPI 3.0 spec covering all 30 REST endpoints, with real request/response shapes read from the route implementations (not inferred). It’s organized into 9 tags matching the route groups in §2.1, with three security schemes: bearerAuth (JWT, shared with GraphQL), tenantHeader (x-tenant), and jobsKey (the cron shared secret).</w:t>
      </w:r>
    </w:p>
    <w:p>
      <w:pPr>
        <w:spacing w:after="160"/>
      </w:pPr>
      <w:r>
        <w:t xml:space="preserve">swagger-ui-express (free, open-source, MIT-licensed) now serves this at:</w:t>
      </w:r>
    </w:p>
    <w:p>
      <w:pPr>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18"/>
          <w:szCs w:val="18"/>
        </w:rPr>
        <w:t xml:space="preserve">GET  /api-docs        — interactive Swagger UI</w:t>
      </w:r>
      <w:r>
        <w:rPr>
          <w:rFonts w:ascii="Courier New" w:cs="Courier New" w:eastAsia="Courier New" w:hAnsi="Courier New"/>
          <w:sz w:val="18"/>
          <w:szCs w:val="18"/>
        </w:rPr>
        <w:br/>
        <w:t xml:space="preserve">GET  /openapi.json    — raw spec, for codegen or import into Postman/Insomnia</w:t>
      </w:r>
    </w:p>
    <w:p>
      <w:pPr>
        <w:spacing w:after="160"/>
      </w:pPr>
      <w:r>
        <w:t xml:space="preserve">It’s mounted in apps/api/src/app.ts immediately after body-parsing, before tenant resolution or auth middleware run — so the docs page itself never 401s or 404s regardless of headers sent. Both Dockerfile and Dockerfile.api were updated to copy openapi.yaml into the production image, so this works the same way in production as it does locally.</w:t>
      </w:r>
    </w:p>
    <w:p>
      <w:pPr>
        <w:pStyle w:val="Heading2"/>
        <w:spacing w:after="150" w:before="300"/>
      </w:pPr>
      <w:r>
        <w:t xml:space="preserve">5.2 GraphQL — introspection is already the documentation</w:t>
      </w:r>
    </w:p>
    <w:p>
      <w:pPr>
        <w:spacing w:after="160"/>
      </w:pPr>
      <w:r>
        <w:t xml:space="preserve">The 24+ domain schema is already self-documenting via GraphQL introspection — every client tool (GraphQL Playground, Apollo Studio, Postman) can browse it live with zero extra work. The highest-leverage next step for frontend stability is not more hand-written docs here, it’s codegen:</w:t>
      </w:r>
    </w:p>
    <w:p>
      <w:pPr>
        <w:pStyle w:val="ListParagraph"/>
        <w:numPr>
          <w:ilvl w:val="0"/>
          <w:numId w:val="1"/>
        </w:numPr>
        <w:spacing w:after="80"/>
      </w:pPr>
      <w:r>
        <w:t xml:space="preserve">Adopt GraphQL Code Generator (free, open-source, the de facto standard) in both apps/web and apps/mobile to generate typed hooks directly from the schema. This turns “the frontend guessed a field name wrong” into a build-time TypeScript error instead of a runtime bug — the single biggest stability win available for a solo/small team.</w:t>
      </w:r>
    </w:p>
    <w:p>
      <w:pPr>
        <w:pStyle w:val="ListParagraph"/>
        <w:numPr>
          <w:ilvl w:val="0"/>
          <w:numId w:val="1"/>
        </w:numPr>
        <w:spacing w:after="80"/>
      </w:pPr>
      <w:r>
        <w:t xml:space="preserve">Enable APOLLO_INTROSPECTION=true in local/staging so codegen and Playground both work; keep it off in production (already the default, per the existing env-gated introspection flag in app.ts).</w:t>
      </w:r>
    </w:p>
    <w:p>
      <w:pPr>
        <w:pStyle w:val="Heading2"/>
        <w:spacing w:after="150" w:before="300"/>
      </w:pPr>
      <w:r>
        <w:t xml:space="preserve">5.3 How to see it locally</w:t>
      </w:r>
    </w:p>
    <w:p>
      <w:pPr>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18"/>
          <w:szCs w:val="18"/>
        </w:rPr>
        <w:t xml:space="preserve">make dev-stack-api            # or: npm run dev:stack:api</w:t>
      </w:r>
      <w:r>
        <w:rPr>
          <w:rFonts w:ascii="Courier New" w:cs="Courier New" w:eastAsia="Courier New" w:hAnsi="Courier New"/>
          <w:sz w:val="18"/>
          <w:szCs w:val="18"/>
        </w:rPr>
        <w:br/>
        <w:t xml:space="preserve"># once running:</w:t>
      </w:r>
      <w:r>
        <w:rPr>
          <w:rFonts w:ascii="Courier New" w:cs="Courier New" w:eastAsia="Courier New" w:hAnsi="Courier New"/>
          <w:sz w:val="18"/>
          <w:szCs w:val="18"/>
        </w:rPr>
        <w:br/>
        <w:t xml:space="preserve">open http://localhost:4000/api-docs      # REST reference (Swagger UI)</w:t>
      </w:r>
      <w:r>
        <w:rPr>
          <w:rFonts w:ascii="Courier New" w:cs="Courier New" w:eastAsia="Courier New" w:hAnsi="Courier New"/>
          <w:sz w:val="18"/>
          <w:szCs w:val="18"/>
        </w:rPr>
        <w:br/>
        <w:t xml:space="preserve">open http://localhost:4000/graphql       # GraphQL Playground / introspection</w:t>
      </w:r>
    </w:p>
    <w:p>
      <w:pPr>
        <w:pStyle w:val="Heading1"/>
        <w:spacing w:after="200" w:before="400"/>
      </w:pPr>
      <w:r>
        <w:t xml:space="preserve">6. Free-tier deployment</w:t>
      </w:r>
    </w:p>
    <w:p>
      <w:pPr>
        <w:spacing w:after="160"/>
      </w:pPr>
      <w:r>
        <w:t xml:space="preserve">The plan already documented in docs/deployment/FREE_TIER_CLOUD.md is the right one for this stage and needs no architectural change — just the cleanup items below.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00"/>
      </w:tblGrid>
      <w:tr>
        <w:tc>
          <w:tcPr>
            <w:tcW w:type="dxa" w:w="2200"/>
            <w:shd w:fill="E8EEF7" w:val="clear"/>
          </w:tcPr>
          <w:p>
            <w:r>
              <w:rPr>
                <w:b/>
                <w:bCs/>
                <w:sz w:val="20"/>
                <w:szCs w:val="20"/>
              </w:rPr>
              <w:t xml:space="preserve">Layer</w:t>
            </w:r>
          </w:p>
        </w:tc>
        <w:tc>
          <w:tcPr>
            <w:tcW w:type="dxa" w:w="3200"/>
            <w:shd w:fill="E8EEF7" w:val="clear"/>
          </w:tcPr>
          <w:p>
            <w:r>
              <w:rPr>
                <w:b/>
                <w:bCs/>
                <w:sz w:val="20"/>
                <w:szCs w:val="20"/>
              </w:rPr>
              <w:t xml:space="preserve">Service</w:t>
            </w:r>
          </w:p>
        </w:tc>
        <w:tc>
          <w:tcPr>
            <w:tcW w:type="dxa" w:w="4400"/>
            <w:shd w:fill="E8EEF7" w:val="clear"/>
          </w:tcPr>
          <w:p>
            <w:r>
              <w:rPr>
                <w:b/>
                <w:bCs/>
                <w:sz w:val="20"/>
                <w:szCs w:val="20"/>
              </w:rPr>
              <w:t xml:space="preserve">Free-tier shape</w:t>
            </w:r>
          </w:p>
        </w:tc>
      </w:tr>
      <w:tr>
        <w:tc>
          <w:tcPr>
            <w:tcW w:type="dxa" w:w="2200"/>
          </w:tcPr>
          <w:p>
            <w:r>
              <w:rPr>
                <w:b w:val="false"/>
                <w:bCs w:val="false"/>
                <w:sz w:val="20"/>
                <w:szCs w:val="20"/>
              </w:rPr>
              <w:t xml:space="preserve">Web</w:t>
            </w:r>
          </w:p>
        </w:tc>
        <w:tc>
          <w:tcPr>
            <w:tcW w:type="dxa" w:w="3200"/>
          </w:tcPr>
          <w:p>
            <w:r>
              <w:rPr>
                <w:b w:val="false"/>
                <w:bCs w:val="false"/>
                <w:sz w:val="20"/>
                <w:szCs w:val="20"/>
              </w:rPr>
              <w:t xml:space="preserve">Vercel Hobby</w:t>
            </w:r>
          </w:p>
        </w:tc>
        <w:tc>
          <w:tcPr>
            <w:tcW w:type="dxa" w:w="4400"/>
          </w:tcPr>
          <w:p>
            <w:r>
              <w:rPr>
                <w:b w:val="false"/>
                <w:bCs w:val="false"/>
                <w:sz w:val="20"/>
                <w:szCs w:val="20"/>
              </w:rPr>
              <w:t xml:space="preserve">100GB bandwidth/mo, serverless Next.js</w:t>
            </w:r>
          </w:p>
        </w:tc>
      </w:tr>
      <w:tr>
        <w:tc>
          <w:tcPr>
            <w:tcW w:type="dxa" w:w="2200"/>
          </w:tcPr>
          <w:p>
            <w:r>
              <w:rPr>
                <w:b w:val="false"/>
                <w:bCs w:val="false"/>
                <w:sz w:val="20"/>
                <w:szCs w:val="20"/>
              </w:rPr>
              <w:t xml:space="preserve">API</w:t>
            </w:r>
          </w:p>
        </w:tc>
        <w:tc>
          <w:tcPr>
            <w:tcW w:type="dxa" w:w="3200"/>
          </w:tcPr>
          <w:p>
            <w:r>
              <w:rPr>
                <w:b w:val="false"/>
                <w:bCs w:val="false"/>
                <w:sz w:val="20"/>
                <w:szCs w:val="20"/>
              </w:rPr>
              <w:t xml:space="preserve">Render Free</w:t>
            </w:r>
          </w:p>
        </w:tc>
        <w:tc>
          <w:tcPr>
            <w:tcW w:type="dxa" w:w="4400"/>
          </w:tcPr>
          <w:p>
            <w:r>
              <w:rPr>
                <w:b w:val="false"/>
                <w:bCs w:val="false"/>
                <w:sz w:val="20"/>
                <w:szCs w:val="20"/>
              </w:rPr>
              <w:t xml:space="preserve">750 hrs/mo, spins down after 15 min idle (cold start on next request)</w:t>
            </w:r>
          </w:p>
        </w:tc>
      </w:tr>
      <w:tr>
        <w:tc>
          <w:tcPr>
            <w:tcW w:type="dxa" w:w="2200"/>
          </w:tcPr>
          <w:p>
            <w:r>
              <w:rPr>
                <w:b w:val="false"/>
                <w:bCs w:val="false"/>
                <w:sz w:val="20"/>
                <w:szCs w:val="20"/>
              </w:rPr>
              <w:t xml:space="preserve">Database</w:t>
            </w:r>
          </w:p>
        </w:tc>
        <w:tc>
          <w:tcPr>
            <w:tcW w:type="dxa" w:w="3200"/>
          </w:tcPr>
          <w:p>
            <w:r>
              <w:rPr>
                <w:b w:val="false"/>
                <w:bCs w:val="false"/>
                <w:sz w:val="20"/>
                <w:szCs w:val="20"/>
              </w:rPr>
              <w:t xml:space="preserve">MongoDB Atlas M0</w:t>
            </w:r>
          </w:p>
        </w:tc>
        <w:tc>
          <w:tcPr>
            <w:tcW w:type="dxa" w:w="4400"/>
          </w:tcPr>
          <w:p>
            <w:r>
              <w:rPr>
                <w:b w:val="false"/>
                <w:bCs w:val="false"/>
                <w:sz w:val="20"/>
                <w:szCs w:val="20"/>
              </w:rPr>
              <w:t xml:space="preserve">512MB storage, shared cluster</w:t>
            </w:r>
          </w:p>
        </w:tc>
      </w:tr>
      <w:tr>
        <w:tc>
          <w:tcPr>
            <w:tcW w:type="dxa" w:w="2200"/>
          </w:tcPr>
          <w:p>
            <w:r>
              <w:rPr>
                <w:b w:val="false"/>
                <w:bCs w:val="false"/>
                <w:sz w:val="20"/>
                <w:szCs w:val="20"/>
              </w:rPr>
              <w:t xml:space="preserve">Cache/queue</w:t>
            </w:r>
          </w:p>
        </w:tc>
        <w:tc>
          <w:tcPr>
            <w:tcW w:type="dxa" w:w="3200"/>
          </w:tcPr>
          <w:p>
            <w:r>
              <w:rPr>
                <w:b w:val="false"/>
                <w:bCs w:val="false"/>
                <w:sz w:val="20"/>
                <w:szCs w:val="20"/>
              </w:rPr>
              <w:t xml:space="preserve">Upstash Redis</w:t>
            </w:r>
          </w:p>
        </w:tc>
        <w:tc>
          <w:tcPr>
            <w:tcW w:type="dxa" w:w="4400"/>
          </w:tcPr>
          <w:p>
            <w:r>
              <w:rPr>
                <w:b w:val="false"/>
                <w:bCs w:val="false"/>
                <w:sz w:val="20"/>
                <w:szCs w:val="20"/>
              </w:rPr>
              <w:t xml:space="preserve">256MB, 10k commands/day — optional, API degrades gracefully without it</w:t>
            </w:r>
          </w:p>
        </w:tc>
      </w:tr>
      <w:tr>
        <w:tc>
          <w:tcPr>
            <w:tcW w:type="dxa" w:w="2200"/>
          </w:tcPr>
          <w:p>
            <w:r>
              <w:rPr>
                <w:b w:val="false"/>
                <w:bCs w:val="false"/>
                <w:sz w:val="20"/>
                <w:szCs w:val="20"/>
              </w:rPr>
              <w:t xml:space="preserve">Cron</w:t>
            </w:r>
          </w:p>
        </w:tc>
        <w:tc>
          <w:tcPr>
            <w:tcW w:type="dxa" w:w="3200"/>
          </w:tcPr>
          <w:p>
            <w:r>
              <w:rPr>
                <w:b w:val="false"/>
                <w:bCs w:val="false"/>
                <w:sz w:val="20"/>
                <w:szCs w:val="20"/>
              </w:rPr>
              <w:t xml:space="preserve">cron-job.org</w:t>
            </w:r>
          </w:p>
        </w:tc>
        <w:tc>
          <w:tcPr>
            <w:tcW w:type="dxa" w:w="4400"/>
          </w:tcPr>
          <w:p>
            <w:r>
              <w:rPr>
                <w:b w:val="false"/>
                <w:bCs w:val="false"/>
                <w:sz w:val="20"/>
                <w:szCs w:val="20"/>
              </w:rPr>
              <w:t xml:space="preserve">Free scheduled HTTP calls to /api/jobs/listing-reminders</w:t>
            </w:r>
          </w:p>
        </w:tc>
      </w:tr>
      <w:tr>
        <w:tc>
          <w:tcPr>
            <w:tcW w:type="dxa" w:w="2200"/>
          </w:tcPr>
          <w:p>
            <w:r>
              <w:rPr>
                <w:b w:val="false"/>
                <w:bCs w:val="false"/>
                <w:sz w:val="20"/>
                <w:szCs w:val="20"/>
              </w:rPr>
              <w:t xml:space="preserve">Email</w:t>
            </w:r>
          </w:p>
        </w:tc>
        <w:tc>
          <w:tcPr>
            <w:tcW w:type="dxa" w:w="3200"/>
          </w:tcPr>
          <w:p>
            <w:r>
              <w:rPr>
                <w:b w:val="false"/>
                <w:bCs w:val="false"/>
                <w:sz w:val="20"/>
                <w:szCs w:val="20"/>
              </w:rPr>
              <w:t xml:space="preserve">Resend / console</w:t>
            </w:r>
          </w:p>
        </w:tc>
        <w:tc>
          <w:tcPr>
            <w:tcW w:type="dxa" w:w="4400"/>
          </w:tcPr>
          <w:p>
            <w:r>
              <w:rPr>
                <w:b w:val="false"/>
                <w:bCs w:val="false"/>
                <w:sz w:val="20"/>
                <w:szCs w:val="20"/>
              </w:rPr>
              <w:t xml:space="preserve">~100 emails/day free tier</w:t>
            </w:r>
          </w:p>
        </w:tc>
      </w:tr>
      <w:tr>
        <w:tc>
          <w:tcPr>
            <w:tcW w:type="dxa" w:w="2200"/>
          </w:tcPr>
          <w:p>
            <w:r>
              <w:rPr>
                <w:b w:val="false"/>
                <w:bCs w:val="false"/>
                <w:sz w:val="20"/>
                <w:szCs w:val="20"/>
              </w:rPr>
              <w:t xml:space="preserve">Payments</w:t>
            </w:r>
          </w:p>
        </w:tc>
        <w:tc>
          <w:tcPr>
            <w:tcW w:type="dxa" w:w="3200"/>
          </w:tcPr>
          <w:p>
            <w:r>
              <w:rPr>
                <w:b w:val="false"/>
                <w:bCs w:val="false"/>
                <w:sz w:val="20"/>
                <w:szCs w:val="20"/>
              </w:rPr>
              <w:t xml:space="preserve">Stripe test mode</w:t>
            </w:r>
          </w:p>
        </w:tc>
        <w:tc>
          <w:tcPr>
            <w:tcW w:type="dxa" w:w="4400"/>
          </w:tcPr>
          <w:p>
            <w:r>
              <w:rPr>
                <w:b w:val="false"/>
                <w:bCs w:val="false"/>
                <w:sz w:val="20"/>
                <w:szCs w:val="20"/>
              </w:rPr>
              <w:t xml:space="preserve">Free; webhook hits Render</w:t>
            </w:r>
          </w:p>
        </w:tc>
      </w:tr>
    </w:tbl>
    <w:p>
      <w:pPr>
        <w:spacing w:after="160"/>
      </w:pPr>
      <w:r>
        <w:t xml:space="preserve"/>
      </w:r>
    </w:p>
    <w:p>
      <w:pPr>
        <w:spacing w:after="160"/>
      </w:pPr>
      <w:r>
        <w:rPr>
          <w:b/>
          <w:bCs/>
        </w:rPr>
        <w:t xml:space="preserve">Cleanup before extending this further: </w:t>
      </w:r>
    </w:p>
    <w:p>
      <w:pPr>
        <w:pStyle w:val="ListParagraph"/>
        <w:numPr>
          <w:ilvl w:val="0"/>
          <w:numId w:val="1"/>
        </w:numPr>
        <w:spacing w:after="80"/>
      </w:pPr>
      <w:r>
        <w:t xml:space="preserve">Reconcile the two render.yaml files into one canonical blueprint (recommend deploy/platforms/render.yaml — it already includes the MCP service and Stripe price env vars the root one is missing).</w:t>
      </w:r>
    </w:p>
    <w:p>
      <w:pPr>
        <w:pStyle w:val="ListParagraph"/>
        <w:numPr>
          <w:ilvl w:val="0"/>
          <w:numId w:val="1"/>
        </w:numPr>
        <w:spacing w:after="80"/>
      </w:pPr>
      <w:r>
        <w:t xml:space="preserve">Pick one primary deployment path. The repo currently documents both a Render/Vercel free-tier path and a parallel AWS SSM/serverless path (per AWS_SERVERLESS_MIGRATION_REPORT.md and the “values match AWS SSM 1:1” comment in the root render.yaml). For a 1-2 person team, running two deployment stories in parallel is itself an ops cost — Render + Vercel is materially simpler to operate day-to-day. Keep the AWS path documented as a fallback, but stop treating it as equally live unless there’s a specific reason (e.g. an existing customer requires AWS).</w:t>
      </w:r>
    </w:p>
    <w:p>
      <w:pPr>
        <w:pStyle w:val="Heading2"/>
        <w:spacing w:after="150" w:before="300"/>
      </w:pPr>
      <w:r>
        <w:t xml:space="preserve">6.1 What to revisit as it grows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shd w:fill="E8EEF7" w:val="clear"/>
          </w:tcPr>
          <w:p>
            <w:r>
              <w:rPr>
                <w:b/>
                <w:bCs/>
                <w:sz w:val="20"/>
                <w:szCs w:val="20"/>
              </w:rPr>
              <w:t xml:space="preserve">Signal</w:t>
            </w:r>
          </w:p>
        </w:tc>
        <w:tc>
          <w:tcPr>
            <w:tcW w:type="dxa" w:w="5800"/>
            <w:shd w:fill="E8EEF7" w:val="clear"/>
          </w:tcPr>
          <w:p>
            <w:r>
              <w:rPr>
                <w:b/>
                <w:bCs/>
                <w:sz w:val="20"/>
                <w:szCs w:val="20"/>
              </w:rPr>
              <w:t xml:space="preserve">Action</w:t>
            </w:r>
          </w:p>
        </w:tc>
      </w:tr>
      <w:tr>
        <w:tc>
          <w:tcPr>
            <w:tcW w:type="dxa" w:w="3400"/>
          </w:tcPr>
          <w:p>
            <w:r>
              <w:rPr>
                <w:b w:val="false"/>
                <w:bCs w:val="false"/>
                <w:sz w:val="20"/>
                <w:szCs w:val="20"/>
              </w:rPr>
              <w:t xml:space="preserve">Atlas M0’s 512MB fills up</w:t>
            </w:r>
          </w:p>
        </w:tc>
        <w:tc>
          <w:tcPr>
            <w:tcW w:type="dxa" w:w="5800"/>
          </w:tcPr>
          <w:p>
            <w:r>
              <w:rPr>
                <w:b w:val="false"/>
                <w:bCs w:val="false"/>
                <w:sz w:val="20"/>
                <w:szCs w:val="20"/>
              </w:rPr>
              <w:t xml:space="preserve">Upgrade to a paid Atlas tier before it becomes an incident, not after — set a storage alert now</w:t>
            </w:r>
          </w:p>
        </w:tc>
      </w:tr>
      <w:tr>
        <w:tc>
          <w:tcPr>
            <w:tcW w:type="dxa" w:w="3400"/>
          </w:tcPr>
          <w:p>
            <w:r>
              <w:rPr>
                <w:b w:val="false"/>
                <w:bCs w:val="false"/>
                <w:sz w:val="20"/>
                <w:szCs w:val="20"/>
              </w:rPr>
              <w:t xml:space="preserve">Render free cold starts become user-visible</w:t>
            </w:r>
          </w:p>
        </w:tc>
        <w:tc>
          <w:tcPr>
            <w:tcW w:type="dxa" w:w="5800"/>
          </w:tcPr>
          <w:p>
            <w:r>
              <w:rPr>
                <w:b w:val="false"/>
                <w:bCs w:val="false"/>
                <w:sz w:val="20"/>
                <w:szCs w:val="20"/>
              </w:rPr>
              <w:t xml:space="preserve">Move to Render’s lowest paid tier (~$7/mo) for always-on, or the documented single-VM (Oracle Free / Fly.io) alternative</w:t>
            </w:r>
          </w:p>
        </w:tc>
      </w:tr>
      <w:tr>
        <w:tc>
          <w:tcPr>
            <w:tcW w:type="dxa" w:w="3400"/>
          </w:tcPr>
          <w:p>
            <w:r>
              <w:rPr>
                <w:b w:val="false"/>
                <w:bCs w:val="false"/>
                <w:sz w:val="20"/>
                <w:szCs w:val="20"/>
              </w:rPr>
              <w:t xml:space="preserve">You need more than one API instance</w:t>
            </w:r>
          </w:p>
        </w:tc>
        <w:tc>
          <w:tcPr>
            <w:tcW w:type="dxa" w:w="5800"/>
          </w:tcPr>
          <w:p>
            <w:r>
              <w:rPr>
                <w:b w:val="false"/>
                <w:bCs w:val="false"/>
                <w:sz w:val="20"/>
                <w:szCs w:val="20"/>
              </w:rPr>
              <w:t xml:space="preserve">Redis moves from optional to required (shared rate-limit/cache state across instances) — this is also the point where the in-memory fallbacks noted in §2 need to go away</w:t>
            </w:r>
          </w:p>
        </w:tc>
      </w:tr>
      <w:tr>
        <w:tc>
          <w:tcPr>
            <w:tcW w:type="dxa" w:w="3400"/>
          </w:tcPr>
          <w:p>
            <w:r>
              <w:rPr>
                <w:b w:val="false"/>
                <w:bCs w:val="false"/>
                <w:sz w:val="20"/>
                <w:szCs w:val="20"/>
              </w:rPr>
              <w:t xml:space="preserve">One GraphQL domain dominates load or risk</w:t>
            </w:r>
          </w:p>
        </w:tc>
        <w:tc>
          <w:tcPr>
            <w:tcW w:type="dxa" w:w="5800"/>
          </w:tcPr>
          <w:p>
            <w:r>
              <w:rPr>
                <w:b w:val="false"/>
                <w:bCs w:val="false"/>
                <w:sz w:val="20"/>
                <w:szCs w:val="20"/>
              </w:rPr>
              <w:t xml:space="preserve">Extract it per §4.1 — the schema/service folder boundary is already the right seam</w:t>
            </w:r>
          </w:p>
        </w:tc>
      </w:tr>
      <w:tr>
        <w:tc>
          <w:tcPr>
            <w:tcW w:type="dxa" w:w="3400"/>
          </w:tcPr>
          <w:p>
            <w:r>
              <w:rPr>
                <w:b w:val="false"/>
                <w:bCs w:val="false"/>
                <w:sz w:val="20"/>
                <w:szCs w:val="20"/>
              </w:rPr>
              <w:t xml:space="preserve">Tenant count grows past ~50-100</w:t>
            </w:r>
          </w:p>
        </w:tc>
        <w:tc>
          <w:tcPr>
            <w:tcW w:type="dxa" w:w="5800"/>
          </w:tcPr>
          <w:p>
            <w:r>
              <w:rPr>
                <w:b w:val="false"/>
                <w:bCs w:val="false"/>
                <w:sz w:val="20"/>
                <w:szCs w:val="20"/>
              </w:rPr>
              <w:t xml:space="preserve">Re-benchmark Mongo query patterns (compound tenant indexes already in place help, but confirm with real data volumes)</w:t>
            </w:r>
          </w:p>
        </w:tc>
      </w:tr>
    </w:tbl>
    <w:p>
      <w:pPr>
        <w:pStyle w:val="Heading1"/>
        <w:spacing w:after="200" w:before="400"/>
      </w:pPr>
      <w:r>
        <w:t xml:space="preserve">7. Guidance for whoever builds the frontend</w:t>
      </w:r>
    </w:p>
    <w:p>
      <w:pPr>
        <w:spacing w:after="160"/>
      </w:pPr>
      <w:r>
        <w:t xml:space="preserve">This is the practical checklist for keeping web and mobile stable against this API as it evolves.</w:t>
      </w:r>
    </w:p>
    <w:p>
      <w:pPr>
        <w:pStyle w:val="ListParagraph"/>
        <w:numPr>
          <w:ilvl w:val="0"/>
          <w:numId w:val="1"/>
        </w:numPr>
        <w:spacing w:after="80"/>
      </w:pPr>
      <w:r>
        <w:t xml:space="preserve">Treat GraphQL as the default. Only reach for REST if you’re doing auth/session, a webhook, or a file/binary upload — everything else already has, or should get, a GraphQL field.</w:t>
      </w:r>
    </w:p>
    <w:p>
      <w:pPr>
        <w:pStyle w:val="ListParagraph"/>
        <w:numPr>
          <w:ilvl w:val="0"/>
          <w:numId w:val="1"/>
        </w:numPr>
        <w:spacing w:after="80"/>
      </w:pPr>
      <w:r>
        <w:t xml:space="preserve">Generate types, don’t hand-write them. Set up GraphQL Code Generator against http://localhost:4000/graphql; re-run it whenever the schema changes. This alone prevents most “works on web, breaks on mobile” bugs.</w:t>
      </w:r>
    </w:p>
    <w:p>
      <w:pPr>
        <w:pStyle w:val="ListParagraph"/>
        <w:numPr>
          <w:ilvl w:val="0"/>
          <w:numId w:val="1"/>
        </w:numPr>
        <w:spacing w:after="80"/>
      </w:pPr>
      <w:r>
        <w:t xml:space="preserve">Additive-first schema changes. Add new fields/types freely; avoid renaming or removing fields that either client already queries. When a field must go, mark it @deprecated and grep apps/web + apps/mobile for usages before deleting it — there’s no automated deprecation tooling yet at this scale, so this is a manual discipline, not a CI gate.</w:t>
      </w:r>
    </w:p>
    <w:p>
      <w:pPr>
        <w:pStyle w:val="ListParagraph"/>
        <w:numPr>
          <w:ilvl w:val="0"/>
          <w:numId w:val="1"/>
        </w:numPr>
        <w:spacing w:after="80"/>
      </w:pPr>
      <w:r>
        <w:t xml:space="preserve">Every REST route change updates openapi.yaml in the same PR. It’s a static file, not generated from code — it will drift silently if this isn’t a habit.</w:t>
      </w:r>
    </w:p>
    <w:p>
      <w:pPr>
        <w:pStyle w:val="ListParagraph"/>
        <w:numPr>
          <w:ilvl w:val="0"/>
          <w:numId w:val="1"/>
        </w:numPr>
        <w:spacing w:after="80"/>
      </w:pPr>
      <w:r>
        <w:t xml:space="preserve">Keep the response envelope consistent. Every existing REST route returns { success, message, data? , errors? } — new routes should match this shape rather than inventing a new one.</w:t>
      </w:r>
    </w:p>
    <w:p>
      <w:pPr>
        <w:pStyle w:val="ListParagraph"/>
        <w:numPr>
          <w:ilvl w:val="0"/>
          <w:numId w:val="1"/>
        </w:numPr>
        <w:spacing w:after="80"/>
      </w:pPr>
      <w:r>
        <w:t xml:space="preserve">Required headers, every request, both clients: Authorization: Bearer &lt;jwt&gt; and x-tenant: &lt;subdomain&gt;. This is already correctly implemented in both apps/web/graphql/client.ts and apps/mobile/lib/apollo.ts — keep any new client code consistent with that pattern rather than re-deriving it.</w:t>
      </w:r>
    </w:p>
    <w:p>
      <w:pPr>
        <w:pStyle w:val="Heading1"/>
        <w:spacing w:after="200" w:before="400"/>
      </w:pPr>
      <w:r>
        <w:t xml:space="preserve">8. Diagrams</w:t>
      </w:r>
    </w:p>
    <w:p>
      <w:pPr>
        <w:pStyle w:val="Heading2"/>
        <w:spacing w:after="150" w:before="300"/>
      </w:pPr>
      <w:r>
        <w:t xml:space="preserve">8.1 Client / backend topology</w:t>
      </w:r>
    </w:p>
    <w:p>
      <w:pPr>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18"/>
          <w:szCs w:val="18"/>
        </w:rPr>
        <w:t xml:space="preserve">  apps/web (Next.js)      apps/mobile (Expo)</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  Bearer JWT + x-tenant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        apps/api  (single Express process)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Apollo Server  /graphql        |  &lt;-- primary contract</w:t>
      </w:r>
      <w:r>
        <w:rPr>
          <w:rFonts w:ascii="Courier New" w:cs="Courier New" w:eastAsia="Courier New" w:hAnsi="Courier New"/>
          <w:sz w:val="18"/>
          <w:szCs w:val="18"/>
        </w:rPr>
        <w:br/>
        <w:t xml:space="preserve">        |  graphql-ws     /graphql (WS)   |</w:t>
      </w:r>
      <w:r>
        <w:rPr>
          <w:rFonts w:ascii="Courier New" w:cs="Courier New" w:eastAsia="Courier New" w:hAnsi="Courier New"/>
          <w:sz w:val="18"/>
          <w:szCs w:val="18"/>
        </w:rPr>
        <w:br/>
        <w:t xml:space="preserve">        |  REST routes    /api/*  (9 mods)|  &lt;-- auth, webhooks, ops</w:t>
      </w:r>
      <w:r>
        <w:rPr>
          <w:rFonts w:ascii="Courier New" w:cs="Courier New" w:eastAsia="Courier New" w:hAnsi="Courier New"/>
          <w:sz w:val="18"/>
          <w:szCs w:val="18"/>
        </w:rPr>
        <w:br/>
        <w:t xml:space="preserve">        |  Swagger UI     /api-docs (new)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            |</w:t>
      </w:r>
      <w:r>
        <w:rPr>
          <w:rFonts w:ascii="Courier New" w:cs="Courier New" w:eastAsia="Courier New" w:hAnsi="Courier New"/>
          <w:sz w:val="18"/>
          <w:szCs w:val="18"/>
        </w:rPr>
        <w:br/>
        <w:t xml:space="preserve">           v            v            v</w:t>
      </w:r>
      <w:r>
        <w:rPr>
          <w:rFonts w:ascii="Courier New" w:cs="Courier New" w:eastAsia="Courier New" w:hAnsi="Courier New"/>
          <w:sz w:val="18"/>
          <w:szCs w:val="18"/>
        </w:rPr>
        <w:br/>
        <w:t xml:space="preserve">     MongoDB Atlas   Upstash Redis  Stripe</w:t>
      </w:r>
      <w:r>
        <w:rPr>
          <w:rFonts w:ascii="Courier New" w:cs="Courier New" w:eastAsia="Courier New" w:hAnsi="Courier New"/>
          <w:sz w:val="18"/>
          <w:szCs w:val="18"/>
        </w:rPr>
        <w:br/>
        <w:t xml:space="preserve">     (shared, tenant-  (optional,   (webhooks</w:t>
      </w:r>
      <w:r>
        <w:rPr>
          <w:rFonts w:ascii="Courier New" w:cs="Courier New" w:eastAsia="Courier New" w:hAnsi="Courier New"/>
          <w:sz w:val="18"/>
          <w:szCs w:val="18"/>
        </w:rPr>
        <w:br/>
        <w:t xml:space="preserve">      scoped docs)     graceful      -&gt; /api/billing/webhook)</w:t>
      </w:r>
      <w:r>
        <w:rPr>
          <w:rFonts w:ascii="Courier New" w:cs="Courier New" w:eastAsia="Courier New" w:hAnsi="Courier New"/>
          <w:sz w:val="18"/>
          <w:szCs w:val="18"/>
        </w:rPr>
        <w:br/>
        <w:t xml:space="preserve">                       fallback)</w:t>
      </w:r>
    </w:p>
    <w:p>
      <w:pPr>
        <w:pStyle w:val="Heading2"/>
        <w:spacing w:after="150" w:before="300"/>
      </w:pPr>
      <w:r>
        <w:t xml:space="preserve">8.2 Request lifecycle (middleware order, as implemented)</w:t>
      </w:r>
    </w:p>
    <w:p>
      <w:pPr>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18"/>
          <w:szCs w:val="18"/>
        </w:rPr>
        <w:t xml:space="preserve">  helmet -&gt; cors -&gt; [stripe webhook: raw body] -&gt; json/urlencoded -&gt; cookies</w:t>
      </w:r>
      <w:r>
        <w:rPr>
          <w:rFonts w:ascii="Courier New" w:cs="Courier New" w:eastAsia="Courier New" w:hAnsi="Courier New"/>
          <w:sz w:val="18"/>
          <w:szCs w:val="18"/>
        </w:rPr>
        <w:br/>
        <w:t xml:space="preserve">     -&gt; mount /api-docs, /openapi.json  (public, no tenant/auth needed)</w:t>
      </w:r>
      <w:r>
        <w:rPr>
          <w:rFonts w:ascii="Courier New" w:cs="Courier New" w:eastAsia="Courier New" w:hAnsi="Courier New"/>
          <w:sz w:val="18"/>
          <w:szCs w:val="18"/>
        </w:rPr>
        <w:br/>
        <w:t xml:space="preserve">     -&gt; tenant routing (subdomain / x-tenant / custom domain)</w:t>
      </w:r>
      <w:r>
        <w:rPr>
          <w:rFonts w:ascii="Courier New" w:cs="Courier New" w:eastAsia="Courier New" w:hAnsi="Courier New"/>
          <w:sz w:val="18"/>
          <w:szCs w:val="18"/>
        </w:rPr>
        <w:br/>
        <w:t xml:space="preserve">     -&gt; tenant security + headers + branding + rate limit</w:t>
      </w:r>
      <w:r>
        <w:rPr>
          <w:rFonts w:ascii="Courier New" w:cs="Courier New" w:eastAsia="Courier New" w:hAnsi="Courier New"/>
          <w:sz w:val="18"/>
          <w:szCs w:val="18"/>
        </w:rPr>
        <w:br/>
        <w:t xml:space="preserve">     -&gt; tenant-scoped JWT auth  -&gt; req.user attached if valid token</w:t>
      </w:r>
      <w:r>
        <w:rPr>
          <w:rFonts w:ascii="Courier New" w:cs="Courier New" w:eastAsia="Courier New" w:hAnsi="Courier New"/>
          <w:sz w:val="18"/>
          <w:szCs w:val="18"/>
        </w:rPr>
        <w:br/>
        <w:t xml:space="preserve">     -&gt; mcp-api-key auth (separate path, out of scope here)</w:t>
      </w:r>
      <w:r>
        <w:rPr>
          <w:rFonts w:ascii="Courier New" w:cs="Courier New" w:eastAsia="Courier New" w:hAnsi="Courier New"/>
          <w:sz w:val="18"/>
          <w:szCs w:val="18"/>
        </w:rPr>
        <w:br/>
        <w:t xml:space="preserve">     -&gt; /health, REST routes, or /graphql</w:t>
      </w:r>
    </w:p>
    <w:p>
      <w:pPr>
        <w:pStyle w:val="Heading2"/>
        <w:spacing w:after="150" w:before="300"/>
      </w:pPr>
      <w:r>
        <w:t xml:space="preserve">8.3 Free-tier deployment topology</w:t>
      </w:r>
    </w:p>
    <w:p>
      <w:pPr>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18"/>
          <w:szCs w:val="18"/>
        </w:rPr>
        <w:t xml:space="preserve">   Vercel (apps/web)  --https--&gt;  Render Free (apps/api)</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v         v</w:t>
      </w:r>
      <w:r>
        <w:rPr>
          <w:rFonts w:ascii="Courier New" w:cs="Courier New" w:eastAsia="Courier New" w:hAnsi="Courier New"/>
          <w:sz w:val="18"/>
          <w:szCs w:val="18"/>
        </w:rPr>
        <w:br/>
        <w:t xml:space="preserve">                          MongoDB Atlas M0   Upstash Redis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cron-job.org --https--&gt; /api/jobs/listing-reminders</w:t>
      </w:r>
      <w:r>
        <w:rPr>
          <w:rFonts w:ascii="Courier New" w:cs="Courier New" w:eastAsia="Courier New" w:hAnsi="Courier New"/>
          <w:sz w:val="18"/>
          <w:szCs w:val="18"/>
        </w:rPr>
        <w:br/>
        <w:t xml:space="preserve">                    Stripe       --https--&gt; /api/billing/webhook</w:t>
      </w:r>
    </w:p>
    <w:p>
      <w:pPr>
        <w:pStyle w:val="Heading1"/>
        <w:spacing w:after="200" w:before="400"/>
      </w:pPr>
      <w:r>
        <w:t xml:space="preserve">9. Summary of recommendations</w:t>
      </w:r>
    </w:p>
    <w:p>
      <w:pPr>
        <w:pStyle w:val="ListParagraph"/>
        <w:numPr>
          <w:ilvl w:val="0"/>
          <w:numId w:val="1"/>
        </w:numPr>
        <w:spacing w:after="80"/>
      </w:pPr>
      <w:r>
        <w:t xml:space="preserve">Keep the GraphQL-first modular monolith. Do not split into microservices at this stage — revisit only against the triggers in §4.1.</w:t>
      </w:r>
    </w:p>
    <w:p>
      <w:pPr>
        <w:pStyle w:val="ListParagraph"/>
        <w:numPr>
          <w:ilvl w:val="0"/>
          <w:numId w:val="1"/>
        </w:numPr>
        <w:spacing w:after="80"/>
      </w:pPr>
      <w:r>
        <w:t xml:space="preserve">REST stays minimal and is now documented (openapi.yaml + /api-docs) — maintain it as a living spec, updated in the same PR as any route change.</w:t>
      </w:r>
    </w:p>
    <w:p>
      <w:pPr>
        <w:pStyle w:val="ListParagraph"/>
        <w:numPr>
          <w:ilvl w:val="0"/>
          <w:numId w:val="1"/>
        </w:numPr>
        <w:spacing w:after="80"/>
      </w:pPr>
      <w:r>
        <w:t xml:space="preserve">Adopt GraphQL Code Generator for both web and mobile — the highest-leverage change for frontend stability, higher than any REST documentation.</w:t>
      </w:r>
    </w:p>
    <w:p>
      <w:pPr>
        <w:pStyle w:val="ListParagraph"/>
        <w:numPr>
          <w:ilvl w:val="0"/>
          <w:numId w:val="1"/>
        </w:numPr>
        <w:spacing w:after="80"/>
      </w:pPr>
      <w:r>
        <w:t xml:space="preserve">Fix the small drift items in §2.3 before the API surface grows further (dead route file, diverged render.yaml, docs describing mobile as “future” when it exists).</w:t>
      </w:r>
    </w:p>
    <w:p>
      <w:pPr>
        <w:pStyle w:val="ListParagraph"/>
        <w:numPr>
          <w:ilvl w:val="0"/>
          <w:numId w:val="1"/>
        </w:numPr>
        <w:spacing w:after="80"/>
      </w:pPr>
      <w:r>
        <w:t xml:space="preserve">Verify the mobile refresh-token flow explicitly — don’t assume the httpOnly cookie approach works unmodified in Expo.</w:t>
      </w:r>
    </w:p>
    <w:p>
      <w:pPr>
        <w:pStyle w:val="ListParagraph"/>
        <w:numPr>
          <w:ilvl w:val="0"/>
          <w:numId w:val="1"/>
        </w:numPr>
        <w:spacing w:after="80"/>
      </w:pPr>
      <w:r>
        <w:t xml:space="preserve">Pick one deployment path (Render/Vercel) as primary; keep AWS documented as a fallback, not a parallel commitment, for a 1-2 person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2026-08-02T16:32:51.781Z</dcterms:created>
  <dcterms:modified xsi:type="dcterms:W3CDTF">2026-08-02T16:32:51.781Z</dcterms:modified>
</cp:coreProperties>
</file>

<file path=docProps/custom.xml><?xml version="1.0" encoding="utf-8"?>
<Properties xmlns="http://schemas.openxmlformats.org/officeDocument/2006/custom-properties" xmlns:vt="http://schemas.openxmlformats.org/officeDocument/2006/docPropsVTypes"/>
</file>