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-72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SUSITH HEMATHILAKA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6053138</wp:posOffset>
            </wp:positionH>
            <wp:positionV relativeFrom="paragraph">
              <wp:posOffset>114300</wp:posOffset>
            </wp:positionV>
            <wp:extent cx="595313" cy="945496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3" cy="945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Subtitle"/>
        <w:rPr>
          <w:rFonts w:ascii="Arial" w:cs="Arial" w:eastAsia="Arial" w:hAnsi="Arial"/>
        </w:rPr>
      </w:pPr>
      <w:r>
        <w:rPr>
          <w:rFonts w:ascii="Arial" w:hAnsi="Arial"/>
          <w:color w:val="000000"/>
          <w:sz w:val="24"/>
        </w:rPr>
        <w:t>Senior Backend Engineer | Java | Spring Boot | Integration Architecture | Domain-Driven Design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+971-562-877-944</w:t>
        </w:r>
      </w:hyperlink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Al Karama, Dubai | </w:t>
      </w:r>
      <w:hyperlink r:id="rId8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susith.rsj@gmail.com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linkedin.com/in/susithrj</w:t>
        </w:r>
      </w:hyperlink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10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github.com/susithrj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 medium.com/susithrj</w:t>
        </w:r>
      </w:hyperlink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12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susithrj.com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Visa Status: Available to start immediately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hAnsi="Arial"/>
          <w:color w:val="000000"/>
          <w:sz w:val="20"/>
        </w:rPr>
        <w:t>Senior Java Backend Engineer with 6+ years building integration-heavy systems using Java, Spring Boot, and microservices architecture. Specialized in complex protocol integration, data transformation, and Domain-Driven Design principles for mission-critical platforms. Proven expertise integrating external systems with strict compliance standards, processing 5+ billion SAR daily for Saudi financial institutions including Bank Saudi Fransi. Strong focus on clean architecture, API design, and maintaining separation between integration and business logic.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ACHIEVEMENTS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100% of backend components for critical production go-lives serving major Saudi financial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Resolved 250+ critical production incidents across mission-critical trading platforms with zero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loss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strict SLA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Achieved 100% throughput improvement through distributed system design with JGroups failover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Reduced operational overhead by 2x through cost-optimized ETL and data sync solutions on AWS 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Optimized bulk payment processing by 20x using PL/SQL stored procedures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for high-volume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hAnsi="Arial"/>
          <w:sz w:val="20"/>
        </w:rPr>
        <w:t>Backend: Java 8/17/21, Spring Boot 3, Spring Data JPA, Spring Integration, Spring Security, Apache Camel, RESTful APIs, Message Transformation, Data Mapping, Hibernate, JPA, Node.js, Python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 &amp; DevOps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(Lambda, Step Functions, API Gateway, S3, ECS, EC2, CloudFormation, Glue, IAM, WAF, ALB), Docker, Kubernetes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hAnsi="Arial"/>
          <w:sz w:val="20"/>
        </w:rPr>
        <w:t>Database &amp; Storage: PostgreSQL, JSONB Queries, Oracle, MySQL, PL/SQL, MongoDB, Redis, Database Design, Semi-Structured Data, Performance Tuning, Infinispan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hAnsi="Arial"/>
          <w:sz w:val="20"/>
        </w:rPr>
        <w:t>Architecture &amp; Design: Domain-Driven Design (DDD), Clean Architecture, Anti-Corruption Layer, Microservices, REST APIs, Event-Driven Architecture, Message Routing, Integration Patterns, API Versioning, Backward Compatibility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</w:rPr>
      </w:pPr>
      <w:r>
        <w:rPr>
          <w:rFonts w:ascii="Arial" w:hAnsi="Arial"/>
          <w:sz w:val="20"/>
        </w:rPr>
        <w:t>Testing &amp; Quality: Integration Testing, Testcontainers, JUnit, Mockito, Unit Testing, API Validation, Compliance Testing, Jenkins, GitHub Actions, SonarQube, Code Quality, Performance Testing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: React, TypeScript, JavaScript (ES6+), HTML5, CSS3, JWT</w:t>
      </w:r>
    </w:p>
    <w:p>
      <w:pPr/>
      <w:r>
        <w:rPr>
          <w:rFonts w:ascii="Arial" w:hAnsi="Arial"/>
          <w:sz w:val="20"/>
        </w:rPr>
        <w:t>Integration &amp; Protocols: External System Integration, Message Parsing, Data Transformation, Protocol Implementation, Token Management, mTLS, API Gateway, SOAP/REST, Message Validation, Error Handling (RFC 7807)</w:t>
      </w:r>
    </w:p>
    <w:p w:rsidR="00000000" w:rsidDel="00000000" w:rsidP="00000000" w:rsidRDefault="00000000" w:rsidRPr="00000000" w14:paraId="00000015">
      <w:pPr>
        <w:spacing w:after="20" w:before="60" w:lineRule="auto"/>
        <w:rPr>
          <w:rFonts w:ascii="Arial" w:cs="Arial" w:eastAsia="Arial" w:hAnsi="Arial"/>
          <w:sz w:val="21"/>
          <w:szCs w:val="21"/>
        </w:rPr>
      </w:pPr>
      <w:r>
        <w:rPr>
          <w:rFonts w:ascii="Arial" w:hAnsi="Arial"/>
          <w:sz w:val="20"/>
        </w:rPr>
        <w:t>Domains: Fintech, Banking, Enterprise, Healthcare Integration (learning), E-commerce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 Technical Lead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| February 2025 –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Sysco LABS, Sri Lanka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360" w:hanging="180"/>
        <w:rPr>
          <w:rFonts w:ascii="Arial" w:cs="Arial" w:eastAsia="Arial" w:hAnsi="Arial"/>
          <w:sz w:val="21"/>
          <w:szCs w:val="21"/>
        </w:rPr>
      </w:pPr>
      <w:r>
        <w:rPr>
          <w:rFonts w:ascii="Arial" w:hAnsi="Arial"/>
          <w:sz w:val="20"/>
        </w:rPr>
        <w:t>Architected scalable integration services for enterprise platform at Sysco (Fortune 500) serving 40,000+ users, implementing clean separation between integration layer and business domain using DDD principles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Designed and implemented data transformation workflows and ETL pipelines using Spring Boot, AWS serverless, ensuring strict separation between external data formats and internal domain models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Built integration services following Clean Architecture principles, implementing Anti-Corruption Layer patterns to isolate external system dependencies from core business logic with comprehensive error handling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Developed POC for complex data synchronization between heterogeneous systems using AWS Glue and Lambda, implementing validation rules and transformation logic reducing operational overhead by 2x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Mentored team on Domain-Driven Design principles, integration patterns, and maintaining clean boundaries between integration and business logic improving code maintainability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Software Engineer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| April 2023 – February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Intervest, Sri Lanka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Contributed to platform modernization implementing integration patterns and API versioning strategies, ensuring backward compatibility while migrating from monolith to microservices using DDD principles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360" w:hanging="180"/>
        <w:rPr>
          <w:rFonts w:ascii="Arial" w:cs="Arial" w:eastAsia="Arial" w:hAnsi="Arial"/>
          <w:sz w:val="21"/>
          <w:szCs w:val="21"/>
        </w:rPr>
      </w:pPr>
      <w:r>
        <w:rPr>
          <w:rFonts w:ascii="Arial" w:hAnsi="Arial"/>
          <w:sz w:val="20"/>
        </w:rPr>
        <w:t>Designed caching strategies for semi-structured data using Redis and deployed microservices on AWS ECS, optimizing API response times while maintaining data consistency across distributed services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360" w:hanging="180"/>
        <w:rPr>
          <w:rFonts w:ascii="Arial" w:cs="Arial" w:eastAsia="Arial" w:hAnsi="Arial"/>
          <w:sz w:val="21"/>
          <w:szCs w:val="21"/>
        </w:rPr>
      </w:pPr>
      <w:r>
        <w:rPr>
          <w:rFonts w:ascii="Arial" w:hAnsi="Arial"/>
          <w:sz w:val="20"/>
        </w:rPr>
        <w:t>Built Address Service with strict domain boundaries and RESTful APIs, implementing comprehensive input validation and RFC 7807 error handling standards for production deployments</w:t>
      </w:r>
    </w:p>
    <w:p w:rsidR="00000000" w:rsidDel="00000000" w:rsidP="00000000" w:rsidRDefault="00000000" w:rsidRPr="00000000" w14:paraId="00000028">
      <w:pPr>
        <w:spacing w:after="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DirectFN, Sri Lanka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Led integration projects with external financial institutions (Bank Saudi Fransi, Musharaka Capital), implementing secure API integrations with token management, mTLS, and strict compliance validation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Diagnosed and resolved 250+ integration failures across external system interfaces including message parsing errors, validation failures, and protocol mismatches, implementing robust error handling and recovery mechanisms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Architected message transformation service converting FIX protocol to FIXML format for post-trade settlement, implementing parsers, validators, and mappers to transform external message formats into clean domain entities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Collaborated with external parties (clearing houses Edda/Muqassa) on integration specifications, data mapping requirements, and compliance standards similar to healthcare exchange integration workflows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Mentored engineers on protocol integration patterns, message parsing techniques, and maintaining separation between external system contracts and internal domain models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| June 2021 – April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DirectFN, Sri Lanka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360" w:hanging="180"/>
        <w:rPr>
          <w:rFonts w:ascii="Arial" w:cs="Arial" w:eastAsia="Arial" w:hAnsi="Arial"/>
          <w:sz w:val="21"/>
          <w:szCs w:val="21"/>
        </w:rPr>
      </w:pPr>
      <w:r>
        <w:rPr>
          <w:rFonts w:ascii="Arial" w:hAnsi="Arial"/>
          <w:sz w:val="20"/>
        </w:rPr>
        <w:t>Designed distributed integration system with message routing and transformation logic, achieving 100% throughput improvement through optimized parsing and validation mechanisms supporting high-volume message processing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Optimized complex data transformation logic by 20x using stored procedures and set-based operations, processing structured financial data with strict validation rules for 5+ billion SAR daily transactions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Provided 24/7 support for integration services across six financial institutions, troubleshooting message parsing failures, data mapping issues, and protocol compliance problems with zero data loss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360" w:hanging="180"/>
        <w:rPr>
          <w:rFonts w:ascii="Arial" w:cs="Arial" w:eastAsia="Arial" w:hAnsi="Arial"/>
          <w:sz w:val="21"/>
          <w:szCs w:val="21"/>
        </w:rPr>
      </w:pPr>
      <w:r>
        <w:rPr>
          <w:rFonts w:ascii="Arial" w:hAnsi="Arial"/>
          <w:sz w:val="20"/>
        </w:rPr>
        <w:t>Developed external system integration for Global Trading Network, implementing secure token-based authentication, message transformation, and backward-compatible APIs resulting in 25% trading volume increase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360" w:hanging="180"/>
        <w:rPr>
          <w:rFonts w:ascii="Arial" w:cs="Arial" w:eastAsia="Arial" w:hAnsi="Arial"/>
          <w:sz w:val="21"/>
          <w:szCs w:val="21"/>
        </w:rPr>
      </w:pPr>
      <w:r>
        <w:rPr>
          <w:rFonts w:ascii="Arial" w:hAnsi="Arial"/>
          <w:sz w:val="20"/>
        </w:rPr>
        <w:t>Established comprehensive integration testing framework using JUnit and Mockito, testing message parsers, validators, and transformation logic ensuring compliance with external system specifications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360" w:hanging="180"/>
        <w:rPr>
          <w:rFonts w:ascii="Arial" w:cs="Arial" w:eastAsia="Arial" w:hAnsi="Arial"/>
          <w:sz w:val="21"/>
          <w:szCs w:val="21"/>
        </w:rPr>
      </w:pPr>
      <w:r>
        <w:rPr>
          <w:rFonts w:ascii="Arial" w:hAnsi="Arial"/>
          <w:sz w:val="20"/>
        </w:rPr>
        <w:t>Authored detailed technical documentation including API specifications, integration guides, and error code documentation following RFC 7807 standards for external system integration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 Software Engineer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| July 2020 – June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Ones&amp;Zeros, Sri Lanka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Developed subscription service implementing JWT token management, API Gateway routing patterns, and role-based access control, ensuring clean separation between authentication logic and business domain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Built RESTful APIs with comprehensive input validation and error handling using Spring Boot and Spring Data JPA, implementing mappers to transform external DTOs into internal domain entities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 Intern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| July 2019 – July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DirectFN, Sri Lanka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Developed POC for message-based integration using event-driven architecture and message routing, implementing asynchronous message transformation for external clearing party interfaces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r>
        <w:rPr>
          <w:rFonts w:ascii="Arial" w:hAnsi="Arial"/>
          <w:sz w:val="20"/>
        </w:rPr>
        <w:t>Implemented mutual TLS (mTLS) and token-based authentication for secure service-to-service communication with HSBC, ensuring encrypted message transmission and strict compliance with security protocols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Westminster, UK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BEng (Hons) Software Engineering – First Class</w:t>
      </w:r>
    </w:p>
    <w:p w:rsidR="00000000" w:rsidDel="00000000" w:rsidP="00000000" w:rsidRDefault="00000000" w:rsidRPr="00000000" w14:paraId="00000041">
      <w:pPr>
        <w:spacing w:after="80" w:before="200" w:lineRule="auto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n</w:t>
        </w:r>
      </w:hyperlink>
      <w:hyperlink r:id="rId15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 A</w:t>
        </w:r>
      </w:hyperlink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nalysis</w:t>
        </w:r>
      </w:hyperlink>
      <w:hyperlink r:id="rId17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 O</w:t>
        </w:r>
      </w:hyperlink>
      <w:hyperlink r:id="rId18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f</w:t>
        </w:r>
      </w:hyperlink>
      <w:hyperlink r:id="rId19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 F</w:t>
        </w:r>
      </w:hyperlink>
      <w:hyperlink r:id="rId20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ace</w:t>
        </w:r>
      </w:hyperlink>
      <w:hyperlink r:id="rId21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 R</w:t>
        </w:r>
      </w:hyperlink>
      <w:hyperlink r:id="rId22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ecognition</w:t>
        </w:r>
      </w:hyperlink>
      <w:hyperlink r:id="rId23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 U</w:t>
        </w:r>
      </w:hyperlink>
      <w:hyperlink r:id="rId24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nder</w:t>
        </w:r>
      </w:hyperlink>
      <w:hyperlink r:id="rId25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 F</w:t>
        </w:r>
      </w:hyperlink>
      <w:hyperlink r:id="rId26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ace</w:t>
        </w:r>
      </w:hyperlink>
      <w:hyperlink r:id="rId27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 M</w:t>
        </w:r>
      </w:hyperlink>
      <w:hyperlink r:id="rId28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ask</w:t>
        </w:r>
      </w:hyperlink>
      <w:hyperlink r:id="rId29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 Occlusions</w:t>
        </w:r>
      </w:hyperlink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– MLDS Conference 2021, Zurich, Switzerland</w:t>
      </w:r>
    </w:p>
    <w:sectPr>
      <w:headerReference r:id="rId30" w:type="default"/>
      <w:footerReference r:id="rId31" w:type="default"/>
      <w:pgSz w:h="16838" w:w="11906" w:orient="portrait"/>
      <w:pgMar w:bottom="144" w:top="288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aircconline.com/csit/papers/vol11/csit111804.pdf" TargetMode="External"/><Relationship Id="rId22" Type="http://schemas.openxmlformats.org/officeDocument/2006/relationships/hyperlink" Target="https://aircconline.com/csit/papers/vol11/csit111804.pdf" TargetMode="External"/><Relationship Id="rId21" Type="http://schemas.openxmlformats.org/officeDocument/2006/relationships/hyperlink" Target="https://aircconline.com/csit/papers/vol11/csit111804.pdf" TargetMode="External"/><Relationship Id="rId24" Type="http://schemas.openxmlformats.org/officeDocument/2006/relationships/hyperlink" Target="https://aircconline.com/csit/papers/vol11/csit111804.pdf" TargetMode="External"/><Relationship Id="rId23" Type="http://schemas.openxmlformats.org/officeDocument/2006/relationships/hyperlink" Target="https://aircconline.com/csit/papers/vol11/csit111804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nkedin.com/in/susithrj" TargetMode="External"/><Relationship Id="rId26" Type="http://schemas.openxmlformats.org/officeDocument/2006/relationships/hyperlink" Target="https://aircconline.com/csit/papers/vol11/csit111804.pdf" TargetMode="External"/><Relationship Id="rId25" Type="http://schemas.openxmlformats.org/officeDocument/2006/relationships/hyperlink" Target="https://aircconline.com/csit/papers/vol11/csit111804.pdf" TargetMode="External"/><Relationship Id="rId28" Type="http://schemas.openxmlformats.org/officeDocument/2006/relationships/hyperlink" Target="https://aircconline.com/csit/papers/vol11/csit111804.pdf" TargetMode="External"/><Relationship Id="rId27" Type="http://schemas.openxmlformats.org/officeDocument/2006/relationships/hyperlink" Target="https://aircconline.com/csit/papers/vol11/csit111804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hyperlink" Target="https://aircconline.com/csit/papers/vol11/csit111804.pdf" TargetMode="External"/><Relationship Id="rId7" Type="http://schemas.openxmlformats.org/officeDocument/2006/relationships/hyperlink" Target="tel:+971562877944" TargetMode="External"/><Relationship Id="rId8" Type="http://schemas.openxmlformats.org/officeDocument/2006/relationships/hyperlink" Target="mailto:susith.rsj@gmail.com" TargetMode="External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hyperlink" Target="http://medium.com/@susithrj" TargetMode="External"/><Relationship Id="rId10" Type="http://schemas.openxmlformats.org/officeDocument/2006/relationships/hyperlink" Target="http://github.com/susithrj" TargetMode="External"/><Relationship Id="rId13" Type="http://schemas.openxmlformats.org/officeDocument/2006/relationships/hyperlink" Target="https://aircconline.com/csit/papers/vol11/csit111804.pdf" TargetMode="External"/><Relationship Id="rId12" Type="http://schemas.openxmlformats.org/officeDocument/2006/relationships/hyperlink" Target="http://susithrj.com" TargetMode="External"/><Relationship Id="rId15" Type="http://schemas.openxmlformats.org/officeDocument/2006/relationships/hyperlink" Target="https://aircconline.com/csit/papers/vol11/csit111804.pdf" TargetMode="External"/><Relationship Id="rId14" Type="http://schemas.openxmlformats.org/officeDocument/2006/relationships/hyperlink" Target="https://aircconline.com/csit/papers/vol11/csit111804.pdf" TargetMode="External"/><Relationship Id="rId17" Type="http://schemas.openxmlformats.org/officeDocument/2006/relationships/hyperlink" Target="https://aircconline.com/csit/papers/vol11/csit111804.pdf" TargetMode="External"/><Relationship Id="rId16" Type="http://schemas.openxmlformats.org/officeDocument/2006/relationships/hyperlink" Target="https://aircconline.com/csit/papers/vol11/csit111804.pdf" TargetMode="External"/><Relationship Id="rId19" Type="http://schemas.openxmlformats.org/officeDocument/2006/relationships/hyperlink" Target="https://aircconline.com/csit/papers/vol11/csit111804.pdf" TargetMode="External"/><Relationship Id="rId18" Type="http://schemas.openxmlformats.org/officeDocument/2006/relationships/hyperlink" Target="https://aircconline.com/csit/papers/vol11/csit111804.pdf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