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9048" w14:textId="77777777" w:rsidR="00B93044" w:rsidRDefault="006D010C">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10EB9073" wp14:editId="10EB9074">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10EB9049" w14:textId="77777777" w:rsidR="00B93044" w:rsidRDefault="00B93044">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93044" w14:paraId="10EB904F" w14:textId="77777777">
        <w:trPr>
          <w:jc w:val="center"/>
        </w:trPr>
        <w:tc>
          <w:tcPr>
            <w:tcW w:w="4508" w:type="dxa"/>
          </w:tcPr>
          <w:p w14:paraId="10EB904D" w14:textId="77777777" w:rsidR="00B93044" w:rsidRDefault="006D010C">
            <w:pPr>
              <w:rPr>
                <w:rFonts w:ascii="Arial" w:eastAsia="Arial" w:hAnsi="Arial" w:cs="Arial"/>
              </w:rPr>
            </w:pPr>
            <w:r>
              <w:rPr>
                <w:rFonts w:ascii="Arial" w:eastAsia="Arial" w:hAnsi="Arial" w:cs="Arial"/>
              </w:rPr>
              <w:t>Team ID</w:t>
            </w:r>
          </w:p>
        </w:tc>
        <w:tc>
          <w:tcPr>
            <w:tcW w:w="4843" w:type="dxa"/>
          </w:tcPr>
          <w:p w14:paraId="10EB904E" w14:textId="1A392218" w:rsidR="00B93044" w:rsidRDefault="00FB381F">
            <w:pPr>
              <w:rPr>
                <w:rFonts w:ascii="Arial" w:eastAsia="Arial" w:hAnsi="Arial" w:cs="Arial"/>
              </w:rPr>
            </w:pPr>
            <w:r>
              <w:rPr>
                <w:rFonts w:ascii="Arial" w:eastAsia="Arial" w:hAnsi="Arial" w:cs="Arial"/>
              </w:rPr>
              <w:t>MCA</w:t>
            </w:r>
          </w:p>
        </w:tc>
      </w:tr>
      <w:tr w:rsidR="00B93044" w14:paraId="10EB9052" w14:textId="77777777">
        <w:trPr>
          <w:jc w:val="center"/>
        </w:trPr>
        <w:tc>
          <w:tcPr>
            <w:tcW w:w="4508" w:type="dxa"/>
          </w:tcPr>
          <w:p w14:paraId="10EB9050" w14:textId="77777777" w:rsidR="00B93044" w:rsidRDefault="006D010C">
            <w:pPr>
              <w:rPr>
                <w:rFonts w:ascii="Arial" w:eastAsia="Arial" w:hAnsi="Arial" w:cs="Arial"/>
              </w:rPr>
            </w:pPr>
            <w:r>
              <w:rPr>
                <w:rFonts w:ascii="Arial" w:eastAsia="Arial" w:hAnsi="Arial" w:cs="Arial"/>
              </w:rPr>
              <w:t>Project Name</w:t>
            </w:r>
          </w:p>
        </w:tc>
        <w:tc>
          <w:tcPr>
            <w:tcW w:w="4843" w:type="dxa"/>
          </w:tcPr>
          <w:p w14:paraId="10EB9051" w14:textId="7C82236C" w:rsidR="00B93044" w:rsidRDefault="00FB381F">
            <w:pPr>
              <w:rPr>
                <w:rFonts w:ascii="Arial" w:eastAsia="Arial" w:hAnsi="Arial" w:cs="Arial"/>
              </w:rPr>
            </w:pPr>
            <w:r w:rsidRPr="00FB381F">
              <w:rPr>
                <w:rFonts w:ascii="Arial" w:eastAsia="Arial" w:hAnsi="Arial" w:cs="Arial"/>
              </w:rPr>
              <w:t>Online Learning Engagement and Student Performance Anal</w:t>
            </w:r>
            <w:r w:rsidR="00234A44">
              <w:rPr>
                <w:rFonts w:ascii="Arial" w:eastAsia="Arial" w:hAnsi="Arial" w:cs="Arial"/>
              </w:rPr>
              <w:t>ysis</w:t>
            </w:r>
          </w:p>
        </w:tc>
      </w:tr>
      <w:tr w:rsidR="00B93044" w14:paraId="10EB9055" w14:textId="77777777">
        <w:trPr>
          <w:jc w:val="center"/>
        </w:trPr>
        <w:tc>
          <w:tcPr>
            <w:tcW w:w="4508" w:type="dxa"/>
          </w:tcPr>
          <w:p w14:paraId="10EB9053" w14:textId="77777777" w:rsidR="00B93044" w:rsidRDefault="006D010C">
            <w:pPr>
              <w:rPr>
                <w:rFonts w:ascii="Arial" w:eastAsia="Arial" w:hAnsi="Arial" w:cs="Arial"/>
              </w:rPr>
            </w:pPr>
            <w:r>
              <w:rPr>
                <w:rFonts w:ascii="Arial" w:eastAsia="Arial" w:hAnsi="Arial" w:cs="Arial"/>
              </w:rPr>
              <w:t>Maximum Marks</w:t>
            </w:r>
          </w:p>
        </w:tc>
        <w:tc>
          <w:tcPr>
            <w:tcW w:w="4843" w:type="dxa"/>
          </w:tcPr>
          <w:p w14:paraId="10EB9054" w14:textId="77777777" w:rsidR="00B93044" w:rsidRDefault="006D010C">
            <w:pPr>
              <w:rPr>
                <w:rFonts w:ascii="Arial" w:eastAsia="Arial" w:hAnsi="Arial" w:cs="Arial"/>
              </w:rPr>
            </w:pPr>
            <w:r>
              <w:rPr>
                <w:rFonts w:ascii="Arial" w:eastAsia="Arial" w:hAnsi="Arial" w:cs="Arial"/>
              </w:rPr>
              <w:t>5 Marks</w:t>
            </w:r>
          </w:p>
        </w:tc>
      </w:tr>
    </w:tbl>
    <w:p w14:paraId="10EB9056" w14:textId="77777777" w:rsidR="00B93044" w:rsidRDefault="00B93044">
      <w:pPr>
        <w:rPr>
          <w:rFonts w:ascii="Cambria" w:eastAsia="Cambria" w:hAnsi="Cambria" w:cs="Cambria"/>
          <w:color w:val="000000"/>
          <w:sz w:val="24"/>
          <w:szCs w:val="24"/>
          <w:highlight w:val="white"/>
        </w:rPr>
      </w:pPr>
    </w:p>
    <w:p w14:paraId="10EB9057" w14:textId="77777777" w:rsidR="00B93044" w:rsidRDefault="006D010C">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10EB9058" w14:textId="77777777" w:rsidR="00B93044" w:rsidRDefault="006D010C">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0EB9059" w14:textId="77777777" w:rsidR="00B93044" w:rsidRDefault="006D010C">
      <w:pPr>
        <w:shd w:val="clear" w:color="auto" w:fill="FFFFFF"/>
        <w:jc w:val="center"/>
        <w:rPr>
          <w:sz w:val="20"/>
          <w:szCs w:val="20"/>
          <w:highlight w:val="white"/>
        </w:rPr>
      </w:pPr>
      <w:r>
        <w:rPr>
          <w:sz w:val="20"/>
          <w:szCs w:val="20"/>
        </w:rPr>
        <w:t xml:space="preserve">                    </w:t>
      </w:r>
    </w:p>
    <w:p w14:paraId="10EB905A" w14:textId="77777777" w:rsidR="00B93044" w:rsidRDefault="00B93044">
      <w:pPr>
        <w:pBdr>
          <w:top w:val="nil"/>
          <w:left w:val="nil"/>
          <w:bottom w:val="nil"/>
          <w:right w:val="nil"/>
          <w:between w:val="nil"/>
        </w:pBdr>
        <w:spacing w:after="200" w:line="240" w:lineRule="auto"/>
        <w:ind w:left="1440"/>
        <w:rPr>
          <w:rFonts w:ascii="Arial" w:eastAsia="Arial" w:hAnsi="Arial" w:cs="Arial"/>
          <w:color w:val="000000"/>
          <w:sz w:val="20"/>
          <w:szCs w:val="20"/>
        </w:rPr>
      </w:pPr>
    </w:p>
    <w:p w14:paraId="10EB905B" w14:textId="4CABC0C4" w:rsidR="00B93044" w:rsidRDefault="00983137">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740EFE5C" wp14:editId="5A8612A3">
            <wp:extent cx="5731510" cy="3296920"/>
            <wp:effectExtent l="0" t="0" r="2540" b="0"/>
            <wp:docPr id="12145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34757" name="Picture 1214534757"/>
                    <pic:cNvPicPr/>
                  </pic:nvPicPr>
                  <pic:blipFill>
                    <a:blip r:embed="rId7">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inline>
        </w:drawing>
      </w:r>
    </w:p>
    <w:p w14:paraId="5F969341" w14:textId="77777777" w:rsidR="001B08E8" w:rsidRPr="001B08E8" w:rsidRDefault="001B08E8" w:rsidP="001B08E8">
      <w:pPr>
        <w:rPr>
          <w:b/>
          <w:bCs/>
          <w:lang w:val="en-US"/>
        </w:rPr>
      </w:pPr>
      <w:r w:rsidRPr="001B08E8">
        <w:rPr>
          <w:b/>
          <w:bCs/>
          <w:lang w:val="en-US"/>
        </w:rPr>
        <w:t>Observations Drawn from the Power BI Dashboard</w:t>
      </w:r>
    </w:p>
    <w:p w14:paraId="2E9C1C33" w14:textId="77777777" w:rsidR="001B08E8" w:rsidRPr="001B08E8" w:rsidRDefault="001B08E8" w:rsidP="001B08E8">
      <w:pPr>
        <w:rPr>
          <w:b/>
          <w:bCs/>
          <w:lang w:val="en-US"/>
        </w:rPr>
      </w:pPr>
      <w:r w:rsidRPr="001B08E8">
        <w:rPr>
          <w:b/>
          <w:bCs/>
          <w:lang w:val="en-US"/>
        </w:rPr>
        <w:t>1. Student Performance Analysis</w:t>
      </w:r>
    </w:p>
    <w:p w14:paraId="35F2A679" w14:textId="77777777" w:rsidR="001B08E8" w:rsidRPr="001B08E8" w:rsidRDefault="001B08E8" w:rsidP="001B08E8">
      <w:pPr>
        <w:numPr>
          <w:ilvl w:val="0"/>
          <w:numId w:val="7"/>
        </w:numPr>
        <w:rPr>
          <w:lang w:val="en-US"/>
        </w:rPr>
      </w:pPr>
      <w:r w:rsidRPr="001B08E8">
        <w:rPr>
          <w:lang w:val="en-US"/>
        </w:rPr>
        <w:t xml:space="preserve">The dashboard shows an overall </w:t>
      </w:r>
      <w:r w:rsidRPr="001B08E8">
        <w:rPr>
          <w:b/>
          <w:bCs/>
          <w:lang w:val="en-US"/>
        </w:rPr>
        <w:t>average score of 72.8</w:t>
      </w:r>
      <w:r w:rsidRPr="001B08E8">
        <w:rPr>
          <w:lang w:val="en-US"/>
        </w:rPr>
        <w:t xml:space="preserve">. </w:t>
      </w:r>
    </w:p>
    <w:p w14:paraId="38E9308C" w14:textId="77777777" w:rsidR="001B08E8" w:rsidRPr="001B08E8" w:rsidRDefault="001B08E8" w:rsidP="001B08E8">
      <w:pPr>
        <w:numPr>
          <w:ilvl w:val="0"/>
          <w:numId w:val="7"/>
        </w:numPr>
        <w:rPr>
          <w:lang w:val="en-US"/>
        </w:rPr>
      </w:pPr>
      <w:r w:rsidRPr="001B08E8">
        <w:rPr>
          <w:lang w:val="en-US"/>
        </w:rPr>
        <w:t xml:space="preserve">Average scores across regions remain relatively close, generally around </w:t>
      </w:r>
      <w:r w:rsidRPr="001B08E8">
        <w:rPr>
          <w:b/>
          <w:bCs/>
          <w:lang w:val="en-US"/>
        </w:rPr>
        <w:t>70–75</w:t>
      </w:r>
      <w:r w:rsidRPr="001B08E8">
        <w:rPr>
          <w:lang w:val="en-US"/>
        </w:rPr>
        <w:t xml:space="preserve">, indicating fairly consistent performance. </w:t>
      </w:r>
    </w:p>
    <w:p w14:paraId="64F8345D" w14:textId="77777777" w:rsidR="001B08E8" w:rsidRPr="001B08E8" w:rsidRDefault="001B08E8" w:rsidP="001B08E8">
      <w:pPr>
        <w:rPr>
          <w:b/>
          <w:bCs/>
          <w:lang w:val="en-US"/>
        </w:rPr>
      </w:pPr>
      <w:r w:rsidRPr="001B08E8">
        <w:rPr>
          <w:b/>
          <w:bCs/>
          <w:lang w:val="en-US"/>
        </w:rPr>
        <w:lastRenderedPageBreak/>
        <w:t>2. Student Engagement Analysis</w:t>
      </w:r>
    </w:p>
    <w:p w14:paraId="20FDB4E5" w14:textId="77777777" w:rsidR="001B08E8" w:rsidRPr="001B08E8" w:rsidRDefault="001B08E8" w:rsidP="001B08E8">
      <w:pPr>
        <w:numPr>
          <w:ilvl w:val="0"/>
          <w:numId w:val="8"/>
        </w:numPr>
        <w:rPr>
          <w:lang w:val="en-US"/>
        </w:rPr>
      </w:pPr>
      <w:r w:rsidRPr="001B08E8">
        <w:rPr>
          <w:lang w:val="en-US"/>
        </w:rPr>
        <w:t xml:space="preserve">Students are distributed across </w:t>
      </w:r>
      <w:r w:rsidRPr="001B08E8">
        <w:rPr>
          <w:b/>
          <w:bCs/>
          <w:lang w:val="en-US"/>
        </w:rPr>
        <w:t>Medium (37.5%)</w:t>
      </w:r>
      <w:r w:rsidRPr="001B08E8">
        <w:rPr>
          <w:lang w:val="en-US"/>
        </w:rPr>
        <w:t xml:space="preserve">, </w:t>
      </w:r>
      <w:r w:rsidRPr="001B08E8">
        <w:rPr>
          <w:b/>
          <w:bCs/>
          <w:lang w:val="en-US"/>
        </w:rPr>
        <w:t>High (33.9%)</w:t>
      </w:r>
      <w:r w:rsidRPr="001B08E8">
        <w:rPr>
          <w:lang w:val="en-US"/>
        </w:rPr>
        <w:t xml:space="preserve">, and </w:t>
      </w:r>
      <w:r w:rsidRPr="001B08E8">
        <w:rPr>
          <w:b/>
          <w:bCs/>
          <w:lang w:val="en-US"/>
        </w:rPr>
        <w:t>Low (28.6%)</w:t>
      </w:r>
      <w:r w:rsidRPr="001B08E8">
        <w:rPr>
          <w:lang w:val="en-US"/>
        </w:rPr>
        <w:t xml:space="preserve"> engagement levels. </w:t>
      </w:r>
    </w:p>
    <w:p w14:paraId="40117841" w14:textId="77777777" w:rsidR="001B08E8" w:rsidRPr="001B08E8" w:rsidRDefault="001B08E8" w:rsidP="001B08E8">
      <w:pPr>
        <w:numPr>
          <w:ilvl w:val="0"/>
          <w:numId w:val="8"/>
        </w:numPr>
        <w:rPr>
          <w:lang w:val="en-US"/>
        </w:rPr>
      </w:pPr>
      <w:r w:rsidRPr="001B08E8">
        <w:rPr>
          <w:lang w:val="en-US"/>
        </w:rPr>
        <w:t xml:space="preserve">High-engagement students have the highest average activity, with approximately </w:t>
      </w:r>
      <w:r w:rsidRPr="001B08E8">
        <w:rPr>
          <w:b/>
          <w:bCs/>
          <w:lang w:val="en-US"/>
        </w:rPr>
        <w:t>3.7K average clicks</w:t>
      </w:r>
      <w:r w:rsidRPr="001B08E8">
        <w:rPr>
          <w:lang w:val="en-US"/>
        </w:rPr>
        <w:t xml:space="preserve">. </w:t>
      </w:r>
    </w:p>
    <w:p w14:paraId="793F1EE4" w14:textId="77777777" w:rsidR="001B08E8" w:rsidRPr="001B08E8" w:rsidRDefault="001B08E8" w:rsidP="001B08E8">
      <w:pPr>
        <w:rPr>
          <w:b/>
          <w:bCs/>
          <w:lang w:val="en-US"/>
        </w:rPr>
      </w:pPr>
      <w:r w:rsidRPr="001B08E8">
        <w:rPr>
          <w:b/>
          <w:bCs/>
          <w:lang w:val="en-US"/>
        </w:rPr>
        <w:t>3. Final Result Analysis</w:t>
      </w:r>
    </w:p>
    <w:p w14:paraId="05910366" w14:textId="77777777" w:rsidR="001B08E8" w:rsidRPr="001B08E8" w:rsidRDefault="001B08E8" w:rsidP="001B08E8">
      <w:pPr>
        <w:numPr>
          <w:ilvl w:val="0"/>
          <w:numId w:val="9"/>
        </w:numPr>
        <w:rPr>
          <w:lang w:val="en-US"/>
        </w:rPr>
      </w:pPr>
      <w:r w:rsidRPr="001B08E8">
        <w:rPr>
          <w:b/>
          <w:bCs/>
          <w:lang w:val="en-US"/>
        </w:rPr>
        <w:t>Pass</w:t>
      </w:r>
      <w:r w:rsidRPr="001B08E8">
        <w:rPr>
          <w:lang w:val="en-US"/>
        </w:rPr>
        <w:t xml:space="preserve"> is the largest final-result category, with approximately </w:t>
      </w:r>
      <w:r w:rsidRPr="001B08E8">
        <w:rPr>
          <w:b/>
          <w:bCs/>
          <w:lang w:val="en-US"/>
        </w:rPr>
        <w:t>11.4K students</w:t>
      </w:r>
      <w:r w:rsidRPr="001B08E8">
        <w:rPr>
          <w:lang w:val="en-US"/>
        </w:rPr>
        <w:t xml:space="preserve">. </w:t>
      </w:r>
    </w:p>
    <w:p w14:paraId="273C0931" w14:textId="77777777" w:rsidR="001B08E8" w:rsidRPr="001B08E8" w:rsidRDefault="001B08E8" w:rsidP="001B08E8">
      <w:pPr>
        <w:numPr>
          <w:ilvl w:val="0"/>
          <w:numId w:val="9"/>
        </w:numPr>
        <w:rPr>
          <w:lang w:val="en-US"/>
        </w:rPr>
      </w:pPr>
      <w:r w:rsidRPr="001B08E8">
        <w:rPr>
          <w:lang w:val="en-US"/>
        </w:rPr>
        <w:t xml:space="preserve">This is followed by around </w:t>
      </w:r>
      <w:r w:rsidRPr="001B08E8">
        <w:rPr>
          <w:b/>
          <w:bCs/>
          <w:lang w:val="en-US"/>
        </w:rPr>
        <w:t>5.5K Fail</w:t>
      </w:r>
      <w:r w:rsidRPr="001B08E8">
        <w:rPr>
          <w:lang w:val="en-US"/>
        </w:rPr>
        <w:t xml:space="preserve"> and </w:t>
      </w:r>
      <w:r w:rsidRPr="001B08E8">
        <w:rPr>
          <w:b/>
          <w:bCs/>
          <w:lang w:val="en-US"/>
        </w:rPr>
        <w:t>4.7K Withdrawn</w:t>
      </w:r>
      <w:r w:rsidRPr="001B08E8">
        <w:rPr>
          <w:lang w:val="en-US"/>
        </w:rPr>
        <w:t xml:space="preserve"> students, showing differences in student outcomes. </w:t>
      </w:r>
    </w:p>
    <w:p w14:paraId="45396BED" w14:textId="77777777" w:rsidR="001B08E8" w:rsidRPr="001B08E8" w:rsidRDefault="001B08E8" w:rsidP="001B08E8">
      <w:pPr>
        <w:rPr>
          <w:b/>
          <w:bCs/>
          <w:lang w:val="en-US"/>
        </w:rPr>
      </w:pPr>
      <w:r w:rsidRPr="001B08E8">
        <w:rPr>
          <w:b/>
          <w:bCs/>
          <w:lang w:val="en-US"/>
        </w:rPr>
        <w:t>4. Student Risk Analysis</w:t>
      </w:r>
    </w:p>
    <w:p w14:paraId="46EE35BE" w14:textId="77777777" w:rsidR="001B08E8" w:rsidRPr="001B08E8" w:rsidRDefault="001B08E8" w:rsidP="001B08E8">
      <w:pPr>
        <w:numPr>
          <w:ilvl w:val="0"/>
          <w:numId w:val="10"/>
        </w:numPr>
        <w:rPr>
          <w:lang w:val="en-US"/>
        </w:rPr>
      </w:pPr>
      <w:r w:rsidRPr="001B08E8">
        <w:rPr>
          <w:lang w:val="en-US"/>
        </w:rPr>
        <w:t xml:space="preserve">The dashboard categorizes students into </w:t>
      </w:r>
      <w:r w:rsidRPr="001B08E8">
        <w:rPr>
          <w:b/>
          <w:bCs/>
          <w:lang w:val="en-US"/>
        </w:rPr>
        <w:t xml:space="preserve">High Risk, Low Risk, Safe, and Very </w:t>
      </w:r>
      <w:proofErr w:type="gramStart"/>
      <w:r w:rsidRPr="001B08E8">
        <w:rPr>
          <w:b/>
          <w:bCs/>
          <w:lang w:val="en-US"/>
        </w:rPr>
        <w:t>High Risk</w:t>
      </w:r>
      <w:proofErr w:type="gramEnd"/>
      <w:r w:rsidRPr="001B08E8">
        <w:rPr>
          <w:lang w:val="en-US"/>
        </w:rPr>
        <w:t xml:space="preserve"> groups. </w:t>
      </w:r>
    </w:p>
    <w:p w14:paraId="3B90A146" w14:textId="77777777" w:rsidR="001B08E8" w:rsidRPr="001B08E8" w:rsidRDefault="001B08E8" w:rsidP="001B08E8">
      <w:pPr>
        <w:numPr>
          <w:ilvl w:val="0"/>
          <w:numId w:val="10"/>
        </w:numPr>
        <w:rPr>
          <w:lang w:val="en-US"/>
        </w:rPr>
      </w:pPr>
      <w:r w:rsidRPr="001B08E8">
        <w:rPr>
          <w:lang w:val="en-US"/>
        </w:rPr>
        <w:t xml:space="preserve">This classification can help identify students who may require additional academic support and monitoring. </w:t>
      </w:r>
    </w:p>
    <w:p w14:paraId="7320D553" w14:textId="77777777" w:rsidR="00F23DDE" w:rsidRDefault="006D010C">
      <w:r>
        <w:t xml:space="preserve"> </w:t>
      </w:r>
    </w:p>
    <w:p w14:paraId="10EB9072" w14:textId="6E133D3A" w:rsidR="00B93044" w:rsidRDefault="00CC286A">
      <w:r>
        <w:rPr>
          <w:noProof/>
        </w:rPr>
        <w:drawing>
          <wp:inline distT="0" distB="0" distL="0" distR="0" wp14:anchorId="74560364" wp14:editId="1321916E">
            <wp:extent cx="5731510" cy="3193415"/>
            <wp:effectExtent l="0" t="0" r="2540" b="6985"/>
            <wp:docPr id="86319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2239" name="Picture 863192239"/>
                    <pic:cNvPicPr/>
                  </pic:nvPicPr>
                  <pic:blipFill>
                    <a:blip r:embed="rId8">
                      <a:extLst>
                        <a:ext uri="{28A0092B-C50C-407E-A947-70E740481C1C}">
                          <a14:useLocalDpi xmlns:a14="http://schemas.microsoft.com/office/drawing/2010/main" val="0"/>
                        </a:ext>
                      </a:extLst>
                    </a:blip>
                    <a:stretch>
                      <a:fillRect/>
                    </a:stretch>
                  </pic:blipFill>
                  <pic:spPr>
                    <a:xfrm>
                      <a:off x="0" y="0"/>
                      <a:ext cx="5731510" cy="3193415"/>
                    </a:xfrm>
                    <a:prstGeom prst="rect">
                      <a:avLst/>
                    </a:prstGeom>
                  </pic:spPr>
                </pic:pic>
              </a:graphicData>
            </a:graphic>
          </wp:inline>
        </w:drawing>
      </w:r>
    </w:p>
    <w:p w14:paraId="21DB1B4C" w14:textId="77777777" w:rsidR="00F23DDE" w:rsidRPr="00F23DDE" w:rsidRDefault="00F23DDE" w:rsidP="00F23DDE">
      <w:pPr>
        <w:rPr>
          <w:b/>
          <w:bCs/>
          <w:lang w:val="en-US"/>
        </w:rPr>
      </w:pPr>
      <w:r w:rsidRPr="00F23DDE">
        <w:rPr>
          <w:b/>
          <w:bCs/>
          <w:lang w:val="en-US"/>
        </w:rPr>
        <w:t>Observations Drawn from the Risk, Dropout &amp; Demographic Analysis Dashboard</w:t>
      </w:r>
    </w:p>
    <w:p w14:paraId="6DB2F3A5" w14:textId="77777777" w:rsidR="00F23DDE" w:rsidRPr="00F23DDE" w:rsidRDefault="00F23DDE" w:rsidP="00F23DDE">
      <w:pPr>
        <w:rPr>
          <w:lang w:val="en-US"/>
        </w:rPr>
      </w:pPr>
      <w:r w:rsidRPr="00F23DDE">
        <w:rPr>
          <w:lang w:val="en-US"/>
        </w:rPr>
        <w:t>Here are the key observations from this dashboard:</w:t>
      </w:r>
    </w:p>
    <w:p w14:paraId="0539F443" w14:textId="77777777" w:rsidR="00F23DDE" w:rsidRPr="00F23DDE" w:rsidRDefault="00F23DDE" w:rsidP="00F23DDE">
      <w:pPr>
        <w:rPr>
          <w:lang w:val="en-US"/>
        </w:rPr>
      </w:pPr>
      <w:r w:rsidRPr="00F23DDE">
        <w:rPr>
          <w:b/>
          <w:bCs/>
          <w:lang w:val="en-US"/>
        </w:rPr>
        <w:t>1. Dropout Rate Analysis:</w:t>
      </w:r>
      <w:r w:rsidRPr="00F23DDE">
        <w:rPr>
          <w:lang w:val="en-US"/>
        </w:rPr>
        <w:br/>
        <w:t xml:space="preserve">● The highest dropout rate is among students with </w:t>
      </w:r>
      <w:r w:rsidRPr="00F23DDE">
        <w:rPr>
          <w:b/>
          <w:bCs/>
          <w:lang w:val="en-US"/>
        </w:rPr>
        <w:t>No Formal Qualifications (around 25%)</w:t>
      </w:r>
      <w:r w:rsidRPr="00F23DDE">
        <w:rPr>
          <w:lang w:val="en-US"/>
        </w:rPr>
        <w:t>.</w:t>
      </w:r>
      <w:r w:rsidRPr="00F23DDE">
        <w:rPr>
          <w:lang w:val="en-US"/>
        </w:rPr>
        <w:br/>
        <w:t xml:space="preserve">● The dropout rate decreases as the education level increases, with </w:t>
      </w:r>
      <w:r w:rsidRPr="00F23DDE">
        <w:rPr>
          <w:b/>
          <w:bCs/>
          <w:lang w:val="en-US"/>
        </w:rPr>
        <w:t>Post Graduate Qualification showing around 16%</w:t>
      </w:r>
      <w:r w:rsidRPr="00F23DDE">
        <w:rPr>
          <w:lang w:val="en-US"/>
        </w:rPr>
        <w:t>.</w:t>
      </w:r>
    </w:p>
    <w:p w14:paraId="1B5C506F" w14:textId="77777777" w:rsidR="00F23DDE" w:rsidRPr="00F23DDE" w:rsidRDefault="00F23DDE" w:rsidP="00F23DDE">
      <w:pPr>
        <w:rPr>
          <w:lang w:val="en-US"/>
        </w:rPr>
      </w:pPr>
      <w:r w:rsidRPr="00F23DDE">
        <w:rPr>
          <w:b/>
          <w:bCs/>
          <w:lang w:val="en-US"/>
        </w:rPr>
        <w:t>2. Student Risk Analysis:</w:t>
      </w:r>
      <w:r w:rsidRPr="00F23DDE">
        <w:rPr>
          <w:lang w:val="en-US"/>
        </w:rPr>
        <w:br/>
        <w:t xml:space="preserve">● Students are distributed across </w:t>
      </w:r>
      <w:r w:rsidRPr="00F23DDE">
        <w:rPr>
          <w:b/>
          <w:bCs/>
          <w:lang w:val="en-US"/>
        </w:rPr>
        <w:t>High Risk (28.5%)</w:t>
      </w:r>
      <w:r w:rsidRPr="00F23DDE">
        <w:rPr>
          <w:lang w:val="en-US"/>
        </w:rPr>
        <w:t xml:space="preserve">, </w:t>
      </w:r>
      <w:r w:rsidRPr="00F23DDE">
        <w:rPr>
          <w:b/>
          <w:bCs/>
          <w:lang w:val="en-US"/>
        </w:rPr>
        <w:t>Low Risk (27.2%)</w:t>
      </w:r>
      <w:r w:rsidRPr="00F23DDE">
        <w:rPr>
          <w:lang w:val="en-US"/>
        </w:rPr>
        <w:t xml:space="preserve">, </w:t>
      </w:r>
      <w:r w:rsidRPr="00F23DDE">
        <w:rPr>
          <w:b/>
          <w:bCs/>
          <w:lang w:val="en-US"/>
        </w:rPr>
        <w:t>Safe (25.1%)</w:t>
      </w:r>
      <w:r w:rsidRPr="00F23DDE">
        <w:rPr>
          <w:lang w:val="en-US"/>
        </w:rPr>
        <w:t xml:space="preserve">, and </w:t>
      </w:r>
      <w:r w:rsidRPr="00F23DDE">
        <w:rPr>
          <w:b/>
          <w:bCs/>
          <w:lang w:val="en-US"/>
        </w:rPr>
        <w:t xml:space="preserve">Very High </w:t>
      </w:r>
      <w:r w:rsidRPr="00F23DDE">
        <w:rPr>
          <w:b/>
          <w:bCs/>
          <w:lang w:val="en-US"/>
        </w:rPr>
        <w:lastRenderedPageBreak/>
        <w:t>Risk (19.2%)</w:t>
      </w:r>
      <w:r w:rsidRPr="00F23DDE">
        <w:rPr>
          <w:lang w:val="en-US"/>
        </w:rPr>
        <w:t xml:space="preserve"> categories.</w:t>
      </w:r>
      <w:r w:rsidRPr="00F23DDE">
        <w:rPr>
          <w:lang w:val="en-US"/>
        </w:rPr>
        <w:br/>
        <w:t>● This indicates that a significant proportion of students fall into the different risk categories and may require monitoring.</w:t>
      </w:r>
    </w:p>
    <w:p w14:paraId="3F867E9A" w14:textId="77777777" w:rsidR="00F23DDE" w:rsidRPr="00F23DDE" w:rsidRDefault="00F23DDE" w:rsidP="00F23DDE">
      <w:pPr>
        <w:rPr>
          <w:lang w:val="en-US"/>
        </w:rPr>
      </w:pPr>
      <w:r w:rsidRPr="00F23DDE">
        <w:rPr>
          <w:b/>
          <w:bCs/>
          <w:lang w:val="en-US"/>
        </w:rPr>
        <w:t>3. Pass Rate Analysis:</w:t>
      </w:r>
      <w:r w:rsidRPr="00F23DDE">
        <w:rPr>
          <w:lang w:val="en-US"/>
        </w:rPr>
        <w:br/>
        <w:t xml:space="preserve">● Students with </w:t>
      </w:r>
      <w:r w:rsidRPr="00F23DDE">
        <w:rPr>
          <w:b/>
          <w:bCs/>
          <w:lang w:val="en-US"/>
        </w:rPr>
        <w:t>Post Graduate Qualification have the highest pass rate (around 67%)</w:t>
      </w:r>
      <w:r w:rsidRPr="00F23DDE">
        <w:rPr>
          <w:lang w:val="en-US"/>
        </w:rPr>
        <w:t>.</w:t>
      </w:r>
      <w:r w:rsidRPr="00F23DDE">
        <w:rPr>
          <w:lang w:val="en-US"/>
        </w:rPr>
        <w:br/>
        <w:t xml:space="preserve">● The pass rate gradually decreases across lower education levels, reaching approximately </w:t>
      </w:r>
      <w:r w:rsidRPr="00F23DDE">
        <w:rPr>
          <w:b/>
          <w:bCs/>
          <w:lang w:val="en-US"/>
        </w:rPr>
        <w:t>42% for students with No Formal Qualifications</w:t>
      </w:r>
      <w:r w:rsidRPr="00F23DDE">
        <w:rPr>
          <w:lang w:val="en-US"/>
        </w:rPr>
        <w:t>.</w:t>
      </w:r>
    </w:p>
    <w:p w14:paraId="25B3B057" w14:textId="77777777" w:rsidR="00F23DDE" w:rsidRPr="00F23DDE" w:rsidRDefault="00F23DDE" w:rsidP="00F23DDE">
      <w:pPr>
        <w:rPr>
          <w:lang w:val="en-US"/>
        </w:rPr>
      </w:pPr>
      <w:r w:rsidRPr="00F23DDE">
        <w:rPr>
          <w:b/>
          <w:bCs/>
          <w:lang w:val="en-US"/>
        </w:rPr>
        <w:t>4. Gender and Final Result:</w:t>
      </w:r>
      <w:r w:rsidRPr="00F23DDE">
        <w:rPr>
          <w:lang w:val="en-US"/>
        </w:rPr>
        <w:br/>
        <w:t xml:space="preserve">● The stacked bar chart compares </w:t>
      </w:r>
      <w:r w:rsidRPr="00F23DDE">
        <w:rPr>
          <w:b/>
          <w:bCs/>
          <w:lang w:val="en-US"/>
        </w:rPr>
        <w:t>Distinction, Fail, Pass, and Withdrawn</w:t>
      </w:r>
      <w:r w:rsidRPr="00F23DDE">
        <w:rPr>
          <w:lang w:val="en-US"/>
        </w:rPr>
        <w:t xml:space="preserve"> results for male and female students.</w:t>
      </w:r>
      <w:r w:rsidRPr="00F23DDE">
        <w:rPr>
          <w:lang w:val="en-US"/>
        </w:rPr>
        <w:br/>
        <w:t xml:space="preserve">● </w:t>
      </w:r>
      <w:r w:rsidRPr="00F23DDE">
        <w:rPr>
          <w:b/>
          <w:bCs/>
          <w:lang w:val="en-US"/>
        </w:rPr>
        <w:t>Pass</w:t>
      </w:r>
      <w:r w:rsidRPr="00F23DDE">
        <w:rPr>
          <w:lang w:val="en-US"/>
        </w:rPr>
        <w:t xml:space="preserve"> represents the largest portion for both genders, while Distinction, Fail, and Withdrawn make up the remaining outcomes.</w:t>
      </w:r>
    </w:p>
    <w:p w14:paraId="45DB2EFF" w14:textId="77777777" w:rsidR="00F23DDE" w:rsidRDefault="00F23DDE"/>
    <w:sectPr w:rsidR="00F23DD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AE75453-7484-4DB7-B59A-C5A9826CCD1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4FD5972-7F4E-48B2-AF07-70ED826170FF}"/>
    <w:embedBold r:id="rId3" w:fontKey="{33D809AA-E455-474E-A358-BB576011814A}"/>
  </w:font>
  <w:font w:name="Georgia">
    <w:panose1 w:val="02040502050405020303"/>
    <w:charset w:val="00"/>
    <w:family w:val="roman"/>
    <w:pitch w:val="variable"/>
    <w:sig w:usb0="00000287" w:usb1="00000000" w:usb2="00000000" w:usb3="00000000" w:csb0="0000009F" w:csb1="00000000"/>
    <w:embedItalic r:id="rId4" w:fontKey="{AB142249-F7E0-42B1-AEB6-184793B249E3}"/>
  </w:font>
  <w:font w:name="Cambria">
    <w:panose1 w:val="02040503050406030204"/>
    <w:charset w:val="00"/>
    <w:family w:val="roman"/>
    <w:pitch w:val="variable"/>
    <w:sig w:usb0="E00006FF" w:usb1="420024FF" w:usb2="02000000" w:usb3="00000000" w:csb0="0000019F" w:csb1="00000000"/>
    <w:embedRegular r:id="rId5" w:fontKey="{4E8E1963-880B-4546-B1B1-A9227222EE3F}"/>
    <w:embedBold r:id="rId6" w:fontKey="{44F7FF9A-606B-4D93-A7E5-8972CA53C98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5AEDD9BD-34D8-4954-880F-91AE0FEB2F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02FD"/>
    <w:multiLevelType w:val="multilevel"/>
    <w:tmpl w:val="992CB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6D25D5"/>
    <w:multiLevelType w:val="multilevel"/>
    <w:tmpl w:val="1096B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3F09BF"/>
    <w:multiLevelType w:val="multilevel"/>
    <w:tmpl w:val="1F6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A1134"/>
    <w:multiLevelType w:val="multilevel"/>
    <w:tmpl w:val="65AE3B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87F0C2C"/>
    <w:multiLevelType w:val="multilevel"/>
    <w:tmpl w:val="6E7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A38EA"/>
    <w:multiLevelType w:val="multilevel"/>
    <w:tmpl w:val="4BA6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F2A2E"/>
    <w:multiLevelType w:val="multilevel"/>
    <w:tmpl w:val="BCCA3B2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026BAF"/>
    <w:multiLevelType w:val="multilevel"/>
    <w:tmpl w:val="D870E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CB74011"/>
    <w:multiLevelType w:val="multilevel"/>
    <w:tmpl w:val="F500C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F6B7338"/>
    <w:multiLevelType w:val="multilevel"/>
    <w:tmpl w:val="04D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646675">
    <w:abstractNumId w:val="3"/>
  </w:num>
  <w:num w:numId="2" w16cid:durableId="1234895628">
    <w:abstractNumId w:val="7"/>
  </w:num>
  <w:num w:numId="3" w16cid:durableId="1525513976">
    <w:abstractNumId w:val="1"/>
  </w:num>
  <w:num w:numId="4" w16cid:durableId="55667571">
    <w:abstractNumId w:val="0"/>
  </w:num>
  <w:num w:numId="5" w16cid:durableId="34241052">
    <w:abstractNumId w:val="8"/>
  </w:num>
  <w:num w:numId="6" w16cid:durableId="306519175">
    <w:abstractNumId w:val="6"/>
  </w:num>
  <w:num w:numId="7" w16cid:durableId="973752611">
    <w:abstractNumId w:val="4"/>
  </w:num>
  <w:num w:numId="8" w16cid:durableId="1527864669">
    <w:abstractNumId w:val="2"/>
  </w:num>
  <w:num w:numId="9" w16cid:durableId="1356425671">
    <w:abstractNumId w:val="9"/>
  </w:num>
  <w:num w:numId="10" w16cid:durableId="2019111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044"/>
    <w:rsid w:val="00174855"/>
    <w:rsid w:val="001B08E8"/>
    <w:rsid w:val="00234A44"/>
    <w:rsid w:val="00422469"/>
    <w:rsid w:val="00452621"/>
    <w:rsid w:val="00562271"/>
    <w:rsid w:val="006D010C"/>
    <w:rsid w:val="00983137"/>
    <w:rsid w:val="00B93044"/>
    <w:rsid w:val="00CC286A"/>
    <w:rsid w:val="00F23DDE"/>
    <w:rsid w:val="00FB3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9048"/>
  <w15:docId w15:val="{1B1EC590-A732-4721-9E59-59B1E6B82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jathin kotakonda</cp:lastModifiedBy>
  <cp:revision>3</cp:revision>
  <dcterms:created xsi:type="dcterms:W3CDTF">2026-09-19T07:32:00Z</dcterms:created>
  <dcterms:modified xsi:type="dcterms:W3CDTF">2026-09-19T08:40:00Z</dcterms:modified>
</cp:coreProperties>
</file>