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Сообщение для редактора об использовании инструментов искусственного интеллекта</w:t>
      </w:r>
    </w:p>
    <w:p>
      <w:r>
        <w:t xml:space="preserve">При подготовке рукописи использовались инструменты искусственного интеллекта в следующем объёме: (1) агенты-программисты применялись при разработке кода и документации вычислительного конвейера, результаты их работы проверялись и принимались автором, расчёты детерминированы и воспроизводятся командой из приложения C; (2) инструменты ИИ не применялись для сбора источников, их кодирования по критериям и для интерпретации результатов; (3) текст рукописи написан автором. Публикуемые числа получены детерминированным конвейером и зафиксированы тестами; запись работы над кодом доступна в истории репозитория.</w:t>
      </w:r>
    </w:p>
    <w:p>
      <w:r>
        <w:rPr>
          <w:i/>
          <w:color w:val="595959"/>
        </w:rPr>
        <w:t xml:space="preserve">(удалить перед финальной вёрсткой или оставить по требованию редакции)</w:t>
      </w:r>
    </w:p>
    <w:p>
      <w:r>
        <w:t xml:space="preserve">УДК: (вписать)</w:t>
      </w:r>
    </w:p>
    <w:p>
      <w:pPr>
        <w:pStyle w:val="Title"/>
      </w:pPr>
      <w:r>
        <w:t xml:space="preserve">Проверяемый еженедельный индекс риска глобального конфликта: детерминированный конвейер и отрицательная валидация</w:t>
      </w:r>
    </w:p>
    <w:p>
      <w:r>
        <w:rPr>
          <w:i/>
          <w:color w:val="595959"/>
        </w:rPr>
        <w:t xml:space="preserve">(плейсхолдер названия — автор может переименовать)</w:t>
      </w:r>
    </w:p>
    <w:p>
      <w:r>
        <w:t xml:space="preserve">Михаил Засидкевич (Mikhail Zasidkevich)</w:t>
      </w:r>
    </w:p>
    <w:p>
      <w:r>
        <w:rPr>
          <w:i/>
          <w:color w:val="595959"/>
        </w:rPr>
        <w:t xml:space="preserve">независимый исследователь (independent researcher) — аффилиация: проверить формулировку перед подачей</w:t>
      </w:r>
    </w:p>
    <w:p>
      <w:pPr>
        <w:pStyle w:val="Heading2"/>
      </w:pPr>
      <w:r>
        <w:t xml:space="preserve">Аннотация</w:t>
      </w:r>
    </w:p>
    <w:p>
      <w:r>
        <w:rPr>
          <w:i/>
          <w:color w:val="595959"/>
        </w:rPr>
        <w:t xml:space="preserve">(Плейсхолдер. Аннотация 240–280 слов: цель, конструкт, метод, калибровка, главный результат — отрицательная валидация, границы применимости. Числа для использования: k = 1,95; 10 якорей калибровки; 9 недель методологии 3.0; r = −0,148 (n = 7) по уровням и r = −0,599 (n = 6) по дельтам при сверке с GPR; 46 критериев. Текст пишет автор.)</w:t>
      </w:r>
    </w:p>
    <w:p/>
    <w:p>
      <w:r>
        <w:t xml:space="preserve">Ключевые слова: индекс конфликтного риска; композитный индикатор; порядковая шкала; воспроизводимость; открытые данные; калибровка на исторических якорях; отрицательная валидация; раннее предупреждение.</w:t>
      </w:r>
    </w:p>
    <w:p>
      <w:pPr>
        <w:pStyle w:val="Heading2"/>
      </w:pPr>
      <w:r>
        <w:t xml:space="preserve">Abstract</w:t>
      </w:r>
    </w:p>
    <w:p>
      <w:r>
        <w:rPr>
          <w:i/>
          <w:color w:val="595959"/>
        </w:rPr>
        <w:t xml:space="preserve">(Placeholder. English abstract, 200–250 words — not a literal translation of the Russian annotation: purpose, construct, method, calibration, the main result (negative validation), and limitations. To be written by the author.)</w:t>
      </w:r>
    </w:p>
    <w:p/>
    <w:p>
      <w:r>
        <w:t xml:space="preserve">Keywords: conflict risk index; composite indicator; ordinal scale; reproducibility; open data; calibration on historical anchors; negative validation; early warning.</w:t>
      </w:r>
    </w:p>
    <w:p>
      <w:pPr>
        <w:pStyle w:val="Heading1"/>
      </w:pPr>
      <w:r>
        <w:t xml:space="preserve">1. Постановка проблемы</w:t>
      </w:r>
    </w:p>
    <w:p>
      <w:r>
        <w:rPr>
          <w:i/>
          <w:color w:val="595959"/>
        </w:rPr>
        <w:t xml:space="preserve">Примечание для автора (удалить): Здесь: почему композитные индексы риска проверяемы по-разному; разрыв между публикацией числа и возможностью его пересчитать; что читатель может проверить сам. Объём ≈4 тыс. знаков. Основание — §1 каркаса docs/peer-review/manuscript.md и статья-аудит (пересказать своими словами, каркас не копировать).</w:t>
      </w:r>
    </w:p>
    <w:p>
      <w:pPr>
        <w:pStyle w:val="Heading1"/>
      </w:pPr>
      <w:r>
        <w:t xml:space="preserve">2. Что такое риск и чего индекс не измеряет</w:t>
      </w:r>
    </w:p>
    <w:p>
      <w:r>
        <w:rPr>
          <w:i/>
          <w:color w:val="595959"/>
        </w:rPr>
        <w:t xml:space="preserve">Примечание для автора (удалить): Определение «глобального военного конфликта» как типа события; различение факта, уровня риска и вероятности; почему шкала порядковая, а не вероятностная (ADR 0048). Теоретическую рамку для политологического журнала усилить — в каркасе она сжата. ≈5 тыс. знаков.</w:t>
      </w:r>
    </w:p>
    <w:p>
      <w:pPr>
        <w:pStyle w:val="Heading1"/>
      </w:pPr>
      <w:r>
        <w:t xml:space="preserve">3. Данные</w:t>
      </w:r>
    </w:p>
    <w:p>
      <w:r>
        <w:rPr>
          <w:i/>
          <w:color w:val="595959"/>
        </w:rPr>
        <w:t xml:space="preserve">Примечание для автора (удалить): 46 критериев → 9 драйверов; окно недели W−7…W; схема записи источника R55 (тип, домен, кластер A–F, даты, цитаты); слепой критерий = null + причина слепоты; ворота независимости источников. Таблица 46 критериев — в Приложении A. ≈6 тыс. знаков.</w:t>
      </w:r>
    </w:p>
    <w:p>
      <w:pPr>
        <w:pStyle w:val="Heading1"/>
      </w:pPr>
      <w:r>
        <w:t xml:space="preserve">4. Метод</w:t>
      </w:r>
    </w:p>
    <w:p>
      <w:r>
        <w:rPr>
          <w:i/>
          <w:color w:val="595959"/>
        </w:rPr>
        <w:t xml:space="preserve">Примечание для автора (удалить): Скор драйвера, веса 0,1175/0,06, насыщающая кривая (k = 1,95), инерция, Structural Break Override, ограничитель вклада Д9, региональная и страновая модель §7. Обязательно: перечень отступлений от правил и почему они допущены. ≈7 тыс. знаков.</w:t>
      </w:r>
    </w:p>
    <w:p>
      <w:pPr>
        <w:pStyle w:val="Heading1"/>
      </w:pPr>
      <w:r>
        <w:t xml:space="preserve">5. Калибровка</w:t>
      </w:r>
    </w:p>
    <w:p>
      <w:r>
        <w:rPr>
          <w:i/>
          <w:color w:val="595959"/>
        </w:rPr>
        <w:t xml:space="preserve">Примечание для автора (удалить): 10 якорей, rolling-origin: 7 select выбирают k, 3 verify проверяют; k = 1,95; диапазон полных попаданий [1,20; 2,75]; минимальный запас 7,0 п.; чувствительность ±20 %; уязвимость Able Archer-83 при k −20 % (индекс 79 против нижней границы 81). Отдельный абзац: почему это не подгонка и где остаётся риск (якоря кодированы автором). Таблица якорей — значение, кластер, попадание (см. также Рис. 1 и файл grafik-data.xlsx). ≈5 тыс. знаков.</w:t>
      </w:r>
    </w:p>
    <w:p>
      <w:pPr>
        <w:pStyle w:val="Heading1"/>
      </w:pPr>
      <w:r>
        <w:t xml:space="preserve">6. Отрицательная валидация</w:t>
      </w:r>
    </w:p>
    <w:p>
      <w:r>
        <w:rPr>
          <w:i/>
          <w:color w:val="595959"/>
        </w:rPr>
        <w:t xml:space="preserve">Примечание для автора (удалить): Протокол сверки зафиксирован до получения чисел; GPR: r = −0,148 (p = 0,74, n = 7) по уровням, r = −0,599 (p = 0,23, n = 6) по недельным дельтам, совпадение направления 1 из 6; ACLED и CrisisWatch — insufficient (число пар). Что результат значит и чего не значит; какой следующий шаг был бы корректным (фиксированный горизонт, предсказание перехода состояний, критерий успеха до накопления точек). Числа — data/public/validation.json. ≈5 тыс. знаков.</w:t>
      </w:r>
    </w:p>
    <w:p>
      <w:r>
        <w:rPr>
          <w:i/>
          <w:color w:val="595959"/>
        </w:rPr>
        <w:t xml:space="preserve">(в тексте раздела — внутритекстовая ссылка на Рис. 1, например: «…динамика ряда и положение якорей приведены на Рис. 1»)</w:t>
      </w:r>
    </w:p>
    <w:p>
      <w:pPr>
        <w:pStyle w:val="Caption"/>
      </w:pPr>
      <w:r>
        <w:t xml:space="preserve">Рис. 1. Ряд индекса (методология 3.0) и модельные якорья калибровки / Fig. 1. The index series (methodology 3.0) and calibration anchors</w:t>
      </w:r>
    </w:p>
    <w:p>
      <w:r>
        <w:rPr>
          <w:i/>
          <w:color w:val="595959"/>
        </w:rPr>
        <w:t xml:space="preserve">(сам файл рисунка — grafik.svg, ч/б; исходные данные — grafik-data.xlsx; подпись двуязычная, как требуют правила)</w:t>
      </w:r>
    </w:p>
    <w:p>
      <w:pPr>
        <w:pStyle w:val="Heading1"/>
      </w:pPr>
      <w:r>
        <w:t xml:space="preserve">7. Проверяемость как результат</w:t>
      </w:r>
    </w:p>
    <w:p>
      <w:r>
        <w:rPr>
          <w:i/>
          <w:color w:val="595959"/>
        </w:rPr>
        <w:t xml:space="preserve">Примечание для автора (удалить): Что читатель может сделать сам: команды (Приложение C), публичный слой данных (13 недель), 12 JSON-схем, лицензии, журнал аудита, тесты-пины опубликованных чисел. Здесь же — почему открытость не заменяет независимую проверку. ≈4 тыс. знаков.</w:t>
      </w:r>
    </w:p>
    <w:p>
      <w:pPr>
        <w:pStyle w:val="Heading1"/>
      </w:pPr>
      <w:r>
        <w:t xml:space="preserve">8. Ограничения</w:t>
      </w:r>
    </w:p>
    <w:p>
      <w:r>
        <w:rPr>
          <w:i/>
          <w:color w:val="595959"/>
        </w:rPr>
        <w:t xml:space="preserve">Примечание для автора (удалить): 10 пунктов каркаса §8 своими словами, каждый — с ценой ошибки. Обязательно: один кодировщик и отсутствие межкодировочной надёжности; короткий ряд (9 недель методологии 3.0); разрыв версий 1.0/3.0 (демо-недели не пересчитываются); перенос критериев Д2 из предыдущей недели; отсутствие внешнего рецензирования на момент подачи. ≈4 тыс. знаков.</w:t>
      </w:r>
    </w:p>
    <w:p>
      <w:pPr>
        <w:pStyle w:val="Heading1"/>
      </w:pPr>
      <w:r>
        <w:t xml:space="preserve">9. Заключение</w:t>
      </w:r>
    </w:p>
    <w:p>
      <w:r>
        <w:rPr>
          <w:i/>
          <w:color w:val="595959"/>
        </w:rPr>
        <w:t xml:space="preserve">Примечание для автора (удалить): Что сделано, что показано отрицательно, что остаётся внешнему читателю. ≈2 тыс. знаков.</w:t>
      </w:r>
    </w:p>
    <w:p>
      <w:pPr>
        <w:pStyle w:val="Heading1"/>
      </w:pPr>
      <w:r>
        <w:t xml:space="preserve">Приложение A. Таблица 46 критериев</w:t>
      </w:r>
    </w:p>
    <w:p>
      <w:r>
        <w:rPr>
          <w:i/>
          <w:color w:val="595959"/>
        </w:rPr>
        <w:t xml:space="preserve">Примечание для автора (удалить): Таблица сгенерирована из js/criteria.js (CRITERIA_LIST); при смене методологии перегенерировать. Число сигналов по критерию за окно недели — при необходимости дополнить из входов недель.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0" w:lastColumn="0" w:noHBand="0" w:noVBand="1"/>
      </w:tblPr>
      <w:tblGrid>
        <w:gridCol w:w="1400"/>
        <w:gridCol w:w="1800"/>
        <w:gridCol w:w="6400"/>
        <w:gridCol w:w="1800"/>
        <w:gridCol w:w="1600"/>
      </w:tblGrid>
      <w:tr>
        <w:tc>
          <w:tcPr>
            <w:tcW w:w="1400" w:type="dxa"/>
            <w:shd w:val="clear" w:color="auto" w:fill="D9D9D9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w="1800" w:type="dxa"/>
            <w:shd w:val="clear" w:color="auto" w:fill="D9D9D9"/>
          </w:tcPr>
          <w:p>
            <w:r>
              <w:rPr>
                <w:b/>
              </w:rPr>
              <w:t xml:space="preserve">Драйвер</w:t>
            </w:r>
          </w:p>
        </w:tc>
        <w:tc>
          <w:tcPr>
            <w:tcW w:w="6400" w:type="dxa"/>
            <w:shd w:val="clear" w:color="auto" w:fill="D9D9D9"/>
          </w:tcPr>
          <w:p>
            <w:r>
              <w:rPr>
                <w:b/>
              </w:rPr>
              <w:t xml:space="preserve">Критерий (RU)</w:t>
            </w:r>
          </w:p>
        </w:tc>
        <w:tc>
          <w:tcPr>
            <w:tcW w:w="1800" w:type="dxa"/>
            <w:shd w:val="clear" w:color="auto" w:fill="D9D9D9"/>
          </w:tcPr>
          <w:p>
            <w:r>
              <w:rPr>
                <w:b/>
              </w:rPr>
              <w:t xml:space="preserve">Шкала</w:t>
            </w:r>
          </w:p>
        </w:tc>
        <w:tc>
          <w:tcPr>
            <w:tcW w:w="1600" w:type="dxa"/>
            <w:shd w:val="clear" w:color="auto" w:fill="D9D9D9"/>
          </w:tcPr>
          <w:p>
            <w:r>
              <w:rPr>
                <w:b/>
              </w:rPr>
              <w:t xml:space="preserve">Направление</w:t>
            </w:r>
          </w:p>
        </w:tc>
      </w:tr>
      <w:tr>
        <w:tc>
          <w:tcPr>
            <w:tcW w:w="1400" w:type="dxa"/>
          </w:tcPr>
          <w:p>
            <w:r>
              <w:t xml:space="preserve">D1.1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Перемещения войск и военных колонн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D1.2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Учения необычного масштаба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D1.3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Наращивание военной логистики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D1.4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Актуальные боевые действия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D1.5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Развёртывание стратегических систем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D1.6</w:t>
            </w:r>
          </w:p>
        </w:tc>
        <w:tc>
          <w:tcPr>
            <w:tcW w:w="1800" w:type="dxa"/>
          </w:tcPr>
          <w:p>
            <w:r>
              <w:t xml:space="preserve">D1</w:t>
            </w:r>
          </w:p>
        </w:tc>
        <w:tc>
          <w:tcPr>
            <w:tcW w:w="6400" w:type="dxa"/>
          </w:tcPr>
          <w:p>
            <w:r>
              <w:t xml:space="preserve">Разведение сил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D2.1</w:t>
            </w:r>
          </w:p>
        </w:tc>
        <w:tc>
          <w:tcPr>
            <w:tcW w:w="1800" w:type="dxa"/>
          </w:tcPr>
          <w:p>
            <w:r>
              <w:t xml:space="preserve">D2</w:t>
            </w:r>
          </w:p>
        </w:tc>
        <w:tc>
          <w:tcPr>
            <w:tcW w:w="6400" w:type="dxa"/>
          </w:tcPr>
          <w:p>
            <w:r>
              <w:t xml:space="preserve">Публичные ядерные угрозы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D2.2</w:t>
            </w:r>
          </w:p>
        </w:tc>
        <w:tc>
          <w:tcPr>
            <w:tcW w:w="1800" w:type="dxa"/>
          </w:tcPr>
          <w:p>
            <w:r>
              <w:t xml:space="preserve">D2</w:t>
            </w:r>
          </w:p>
        </w:tc>
        <w:tc>
          <w:tcPr>
            <w:tcW w:w="6400" w:type="dxa"/>
          </w:tcPr>
          <w:p>
            <w:r>
              <w:t xml:space="preserve">Смена доктрины и договоров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D2.3</w:t>
            </w:r>
          </w:p>
        </w:tc>
        <w:tc>
          <w:tcPr>
            <w:tcW w:w="1800" w:type="dxa"/>
          </w:tcPr>
          <w:p>
            <w:r>
              <w:t xml:space="preserve">D2</w:t>
            </w:r>
          </w:p>
        </w:tc>
        <w:tc>
          <w:tcPr>
            <w:tcW w:w="6400" w:type="dxa"/>
          </w:tcPr>
          <w:p>
            <w:r>
              <w:t xml:space="preserve">Технические ядерные сигналы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D2.4</w:t>
            </w:r>
          </w:p>
        </w:tc>
        <w:tc>
          <w:tcPr>
            <w:tcW w:w="1800" w:type="dxa"/>
          </w:tcPr>
          <w:p>
            <w:r>
              <w:t xml:space="preserve">D2</w:t>
            </w:r>
          </w:p>
        </w:tc>
        <w:tc>
          <w:tcPr>
            <w:tcW w:w="6400" w:type="dxa"/>
          </w:tcPr>
          <w:p>
            <w:r>
              <w:t xml:space="preserve">Повышение готовности ядерных сил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D2.5</w:t>
            </w:r>
          </w:p>
        </w:tc>
        <w:tc>
          <w:tcPr>
            <w:tcW w:w="1800" w:type="dxa"/>
          </w:tcPr>
          <w:p>
            <w:r>
              <w:t xml:space="preserve">D2</w:t>
            </w:r>
          </w:p>
        </w:tc>
        <w:tc>
          <w:tcPr>
            <w:tcW w:w="6400" w:type="dxa"/>
          </w:tcPr>
          <w:p>
            <w:r>
              <w:t xml:space="preserve">Отход от ядерной риторики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D3.1</w:t>
            </w:r>
          </w:p>
        </w:tc>
        <w:tc>
          <w:tcPr>
            <w:tcW w:w="1800" w:type="dxa"/>
          </w:tcPr>
          <w:p>
            <w:r>
              <w:t xml:space="preserve">D3</w:t>
            </w:r>
          </w:p>
        </w:tc>
        <w:tc>
          <w:tcPr>
            <w:tcW w:w="6400" w:type="dxa"/>
          </w:tcPr>
          <w:p>
            <w:r>
              <w:t xml:space="preserve">Разрыв дипломатических отношений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D3.2</w:t>
            </w:r>
          </w:p>
        </w:tc>
        <w:tc>
          <w:tcPr>
            <w:tcW w:w="1800" w:type="dxa"/>
          </w:tcPr>
          <w:p>
            <w:r>
              <w:t xml:space="preserve">D3</w:t>
            </w:r>
          </w:p>
        </w:tc>
        <w:tc>
          <w:tcPr>
            <w:tcW w:w="6400" w:type="dxa"/>
          </w:tcPr>
          <w:p>
            <w:r>
              <w:t xml:space="preserve">Ультиматумы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D3.3</w:t>
            </w:r>
          </w:p>
        </w:tc>
        <w:tc>
          <w:tcPr>
            <w:tcW w:w="1800" w:type="dxa"/>
          </w:tcPr>
          <w:p>
            <w:r>
              <w:t xml:space="preserve">D3</w:t>
            </w:r>
          </w:p>
        </w:tc>
        <w:tc>
          <w:tcPr>
            <w:tcW w:w="6400" w:type="dxa"/>
          </w:tcPr>
          <w:p>
            <w:r>
              <w:t xml:space="preserve">Санкции и международно-правовые решения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D3.4</w:t>
            </w:r>
          </w:p>
        </w:tc>
        <w:tc>
          <w:tcPr>
            <w:tcW w:w="1800" w:type="dxa"/>
          </w:tcPr>
          <w:p>
            <w:r>
              <w:t xml:space="preserve">D3</w:t>
            </w:r>
          </w:p>
        </w:tc>
        <w:tc>
          <w:tcPr>
            <w:tcW w:w="6400" w:type="dxa"/>
          </w:tcPr>
          <w:p>
            <w:r>
              <w:t xml:space="preserve">Переговоры и посредничество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D3.5</w:t>
            </w:r>
          </w:p>
        </w:tc>
        <w:tc>
          <w:tcPr>
            <w:tcW w:w="1800" w:type="dxa"/>
          </w:tcPr>
          <w:p>
            <w:r>
              <w:t xml:space="preserve">D3</w:t>
            </w:r>
          </w:p>
        </w:tc>
        <w:tc>
          <w:tcPr>
            <w:tcW w:w="6400" w:type="dxa"/>
          </w:tcPr>
          <w:p>
            <w:r>
              <w:t xml:space="preserve">Гуманитарные договорённости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D4.1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Новые санкции и контрсанкции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D4.2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Военные расходы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D4.3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Разрыв цепочек поставок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D4.4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Конфискации и блокировка торговли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D4.5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Снятие экономических ограничений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D4.6</w:t>
            </w:r>
          </w:p>
        </w:tc>
        <w:tc>
          <w:tcPr>
            <w:tcW w:w="1800" w:type="dxa"/>
          </w:tcPr>
          <w:p>
            <w:r>
              <w:t xml:space="preserve">D4</w:t>
            </w:r>
          </w:p>
        </w:tc>
        <w:tc>
          <w:tcPr>
            <w:tcW w:w="6400" w:type="dxa"/>
          </w:tcPr>
          <w:p>
            <w:r>
              <w:t xml:space="preserve">Стресс на финансовых и сырьевых рынках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D5.1</w:t>
            </w:r>
          </w:p>
        </w:tc>
        <w:tc>
          <w:tcPr>
            <w:tcW w:w="1800" w:type="dxa"/>
          </w:tcPr>
          <w:p>
            <w:r>
              <w:t xml:space="preserve">D5</w:t>
            </w:r>
          </w:p>
        </w:tc>
        <w:tc>
          <w:tcPr>
            <w:tcW w:w="6400" w:type="dxa"/>
          </w:tcPr>
          <w:p>
            <w:r>
              <w:t xml:space="preserve">Эскалация военной риторики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D5.2</w:t>
            </w:r>
          </w:p>
        </w:tc>
        <w:tc>
          <w:tcPr>
            <w:tcW w:w="1800" w:type="dxa"/>
          </w:tcPr>
          <w:p>
            <w:r>
              <w:t xml:space="preserve">D5</w:t>
            </w:r>
          </w:p>
        </w:tc>
        <w:tc>
          <w:tcPr>
            <w:tcW w:w="6400" w:type="dxa"/>
          </w:tcPr>
          <w:p>
            <w:r>
              <w:t xml:space="preserve">Кибероперации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D5.3</w:t>
            </w:r>
          </w:p>
        </w:tc>
        <w:tc>
          <w:tcPr>
            <w:tcW w:w="1800" w:type="dxa"/>
          </w:tcPr>
          <w:p>
            <w:r>
              <w:t xml:space="preserve">D5</w:t>
            </w:r>
          </w:p>
        </w:tc>
        <w:tc>
          <w:tcPr>
            <w:tcW w:w="6400" w:type="dxa"/>
          </w:tcPr>
          <w:p>
            <w:r>
              <w:t xml:space="preserve">Дезинформационные кампании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D5.4</w:t>
            </w:r>
          </w:p>
        </w:tc>
        <w:tc>
          <w:tcPr>
            <w:tcW w:w="1800" w:type="dxa"/>
          </w:tcPr>
          <w:p>
            <w:r>
              <w:t xml:space="preserve">D5</w:t>
            </w:r>
          </w:p>
        </w:tc>
        <w:tc>
          <w:tcPr>
            <w:tcW w:w="6400" w:type="dxa"/>
          </w:tcPr>
          <w:p>
            <w:r>
              <w:t xml:space="preserve">Снижение пропаганды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D6.1</w:t>
            </w:r>
          </w:p>
        </w:tc>
        <w:tc>
          <w:tcPr>
            <w:tcW w:w="1800" w:type="dxa"/>
          </w:tcPr>
          <w:p>
            <w:r>
              <w:t xml:space="preserve">D6</w:t>
            </w:r>
          </w:p>
        </w:tc>
        <w:tc>
          <w:tcPr>
            <w:tcW w:w="6400" w:type="dxa"/>
          </w:tcPr>
          <w:p>
            <w:r>
              <w:t xml:space="preserve">Военное положение и мобилизация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D6.2</w:t>
            </w:r>
          </w:p>
        </w:tc>
        <w:tc>
          <w:tcPr>
            <w:tcW w:w="1800" w:type="dxa"/>
          </w:tcPr>
          <w:p>
            <w:r>
              <w:t xml:space="preserve">D6</w:t>
            </w:r>
          </w:p>
        </w:tc>
        <w:tc>
          <w:tcPr>
            <w:tcW w:w="6400" w:type="dxa"/>
          </w:tcPr>
          <w:p>
            <w:r>
              <w:t xml:space="preserve">Эвакуация населения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D6.3</w:t>
            </w:r>
          </w:p>
        </w:tc>
        <w:tc>
          <w:tcPr>
            <w:tcW w:w="1800" w:type="dxa"/>
          </w:tcPr>
          <w:p>
            <w:r>
              <w:t xml:space="preserve">D6</w:t>
            </w:r>
          </w:p>
        </w:tc>
        <w:tc>
          <w:tcPr>
            <w:tcW w:w="6400" w:type="dxa"/>
          </w:tcPr>
          <w:p>
            <w:r>
              <w:t xml:space="preserve">Военная переориентация экономики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D6.4</w:t>
            </w:r>
          </w:p>
        </w:tc>
        <w:tc>
          <w:tcPr>
            <w:tcW w:w="1800" w:type="dxa"/>
          </w:tcPr>
          <w:p>
            <w:r>
              <w:t xml:space="preserve">D6</w:t>
            </w:r>
          </w:p>
        </w:tc>
        <w:tc>
          <w:tcPr>
            <w:tcW w:w="6400" w:type="dxa"/>
          </w:tcPr>
          <w:p>
            <w:r>
              <w:t xml:space="preserve">Отмена мобилизационных мер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D7.1</w:t>
            </w:r>
          </w:p>
        </w:tc>
        <w:tc>
          <w:tcPr>
            <w:tcW w:w="1800" w:type="dxa"/>
          </w:tcPr>
          <w:p>
            <w:r>
              <w:t xml:space="preserve">D7</w:t>
            </w:r>
          </w:p>
        </w:tc>
        <w:tc>
          <w:tcPr>
            <w:tcW w:w="6400" w:type="dxa"/>
          </w:tcPr>
          <w:p>
            <w:r>
              <w:t xml:space="preserve">Вовлечение новых государств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D7.2</w:t>
            </w:r>
          </w:p>
        </w:tc>
        <w:tc>
          <w:tcPr>
            <w:tcW w:w="1800" w:type="dxa"/>
          </w:tcPr>
          <w:p>
            <w:r>
              <w:t xml:space="preserve">D7</w:t>
            </w:r>
          </w:p>
        </w:tc>
        <w:tc>
          <w:tcPr>
            <w:tcW w:w="6400" w:type="dxa"/>
          </w:tcPr>
          <w:p>
            <w:r>
              <w:t xml:space="preserve">Атаки за пределами театра</w:t>
            </w:r>
          </w:p>
        </w:tc>
        <w:tc>
          <w:tcPr>
            <w:tcW w:w="1800" w:type="dxa"/>
          </w:tcPr>
          <w:p>
            <w:r>
              <w:t xml:space="preserve">count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D7.3</w:t>
            </w:r>
          </w:p>
        </w:tc>
        <w:tc>
          <w:tcPr>
            <w:tcW w:w="1800" w:type="dxa"/>
          </w:tcPr>
          <w:p>
            <w:r>
              <w:t xml:space="preserve">D7</w:t>
            </w:r>
          </w:p>
        </w:tc>
        <w:tc>
          <w:tcPr>
            <w:tcW w:w="6400" w:type="dxa"/>
          </w:tcPr>
          <w:p>
            <w:r>
              <w:t xml:space="preserve">Новые фронты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D7.4</w:t>
            </w:r>
          </w:p>
        </w:tc>
        <w:tc>
          <w:tcPr>
            <w:tcW w:w="1800" w:type="dxa"/>
          </w:tcPr>
          <w:p>
            <w:r>
              <w:t xml:space="preserve">D7</w:t>
            </w:r>
          </w:p>
        </w:tc>
        <w:tc>
          <w:tcPr>
            <w:tcW w:w="6400" w:type="dxa"/>
          </w:tcPr>
          <w:p>
            <w:r>
              <w:t xml:space="preserve">Выход третьих сторон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D8.1</w:t>
            </w:r>
          </w:p>
        </w:tc>
        <w:tc>
          <w:tcPr>
            <w:tcW w:w="1800" w:type="dxa"/>
          </w:tcPr>
          <w:p>
            <w:r>
              <w:t xml:space="preserve">D8</w:t>
            </w:r>
          </w:p>
        </w:tc>
        <w:tc>
          <w:tcPr>
            <w:tcW w:w="6400" w:type="dxa"/>
          </w:tcPr>
          <w:p>
            <w:r>
              <w:t xml:space="preserve">Прекращение огня</w:t>
            </w:r>
          </w:p>
        </w:tc>
        <w:tc>
          <w:tcPr>
            <w:tcW w:w="1800" w:type="dxa"/>
          </w:tcPr>
          <w:p>
            <w:r>
              <w:t xml:space="preserve">binary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D8.2</w:t>
            </w:r>
          </w:p>
        </w:tc>
        <w:tc>
          <w:tcPr>
            <w:tcW w:w="1800" w:type="dxa"/>
          </w:tcPr>
          <w:p>
            <w:r>
              <w:t xml:space="preserve">D8</w:t>
            </w:r>
          </w:p>
        </w:tc>
        <w:tc>
          <w:tcPr>
            <w:tcW w:w="6400" w:type="dxa"/>
          </w:tcPr>
          <w:p>
            <w:r>
              <w:t xml:space="preserve">Мирные договорённости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D8.3</w:t>
            </w:r>
          </w:p>
        </w:tc>
        <w:tc>
          <w:tcPr>
            <w:tcW w:w="1800" w:type="dxa"/>
          </w:tcPr>
          <w:p>
            <w:r>
              <w:t xml:space="preserve">D8</w:t>
            </w:r>
          </w:p>
        </w:tc>
        <w:tc>
          <w:tcPr>
            <w:tcW w:w="6400" w:type="dxa"/>
          </w:tcPr>
          <w:p>
            <w:r>
              <w:t xml:space="preserve">Наблюдение и верификация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D8.4</w:t>
            </w:r>
          </w:p>
        </w:tc>
        <w:tc>
          <w:tcPr>
            <w:tcW w:w="1800" w:type="dxa"/>
          </w:tcPr>
          <w:p>
            <w:r>
              <w:t xml:space="preserve">D8</w:t>
            </w:r>
          </w:p>
        </w:tc>
        <w:tc>
          <w:tcPr>
            <w:tcW w:w="6400" w:type="dxa"/>
          </w:tcPr>
          <w:p>
            <w:r>
              <w:t xml:space="preserve">Снижение интенсивности событий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  <w:tr>
        <w:tc>
          <w:tcPr>
            <w:tcW w:w="1400" w:type="dxa"/>
          </w:tcPr>
          <w:p>
            <w:r>
              <w:t xml:space="preserve">D9.1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Медицинская подготовка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D9.2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Финансовая изоляция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D9.3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Транспорт и страхование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D9.4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Стратегическое накопление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D9.5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Кадровые и мобилизационные меры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D9.6a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Информационный суверенитет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D9.6b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Эвакуация элит и активов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эск.</w:t>
            </w:r>
          </w:p>
        </w:tc>
      </w:tr>
      <w:tr>
        <w:tc>
          <w:tcPr>
            <w:tcW w:w="1400" w:type="dxa"/>
          </w:tcPr>
          <w:p>
            <w:r>
              <w:t xml:space="preserve">D9.7</w:t>
            </w:r>
          </w:p>
        </w:tc>
        <w:tc>
          <w:tcPr>
            <w:tcW w:w="1800" w:type="dxa"/>
          </w:tcPr>
          <w:p>
            <w:r>
              <w:t xml:space="preserve">D9</w:t>
            </w:r>
          </w:p>
        </w:tc>
        <w:tc>
          <w:tcPr>
            <w:tcW w:w="6400" w:type="dxa"/>
          </w:tcPr>
          <w:p>
            <w:r>
              <w:t xml:space="preserve">Снятие «тихих» мер</w:t>
            </w:r>
          </w:p>
        </w:tc>
        <w:tc>
          <w:tcPr>
            <w:tcW w:w="1800" w:type="dxa"/>
          </w:tcPr>
          <w:p>
            <w:r>
              <w:t xml:space="preserve">ordinal</w:t>
            </w:r>
          </w:p>
        </w:tc>
        <w:tc>
          <w:tcPr>
            <w:tcW w:w="1600" w:type="dxa"/>
          </w:tcPr>
          <w:p>
            <w:r>
              <w:t xml:space="preserve">деэск.</w:t>
            </w:r>
          </w:p>
        </w:tc>
      </w:tr>
    </w:tbl>
    <w:p>
      <w:pPr>
        <w:pStyle w:val="Heading1"/>
      </w:pPr>
      <w:r>
        <w:t xml:space="preserve">Приложение B. Параметры</w:t>
      </w:r>
    </w:p>
    <w:p>
      <w:r>
        <w:rPr>
          <w:i/>
          <w:color w:val="595959"/>
        </w:rPr>
        <w:t xml:space="preserve">Примечание для автора (удалить): Источник — calc/params.js и каркас рукописи (Приложение A manuscript.md).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0" w:lastColumn="0" w:noHBand="0" w:noVBand="1"/>
      </w:tblPr>
      <w:tblGrid>
        <w:gridCol w:w="1400"/>
        <w:gridCol w:w="1800"/>
        <w:gridCol w:w="6400"/>
      </w:tblGrid>
      <w:tr>
        <w:tc>
          <w:tcPr>
            <w:tcW w:w="1400" w:type="dxa"/>
            <w:shd w:val="clear" w:color="auto" w:fill="D9D9D9"/>
          </w:tcPr>
          <w:p>
            <w:r>
              <w:rPr>
                <w:b/>
              </w:rPr>
              <w:t xml:space="preserve">Параметр</w:t>
            </w:r>
          </w:p>
        </w:tc>
        <w:tc>
          <w:tcPr>
            <w:tcW w:w="1800" w:type="dxa"/>
            <w:shd w:val="clear" w:color="auto" w:fill="D9D9D9"/>
          </w:tcPr>
          <w:p>
            <w:r>
              <w:rPr>
                <w:b/>
              </w:rPr>
              <w:t xml:space="preserve">Значение</w:t>
            </w:r>
          </w:p>
        </w:tc>
        <w:tc>
          <w:tcPr>
            <w:tcW w:w="6400" w:type="dxa"/>
            <w:shd w:val="clear" w:color="auto" w:fill="D9D9D9"/>
          </w:tcPr>
          <w:p>
            <w:r>
              <w:rPr>
                <w:b/>
              </w:rPr>
              <w:t xml:space="preserve">Роль</w:t>
            </w:r>
          </w:p>
        </w:tc>
      </w:tr>
      <w:tr>
        <w:tc>
          <w:tcPr>
            <w:tcW w:w="1400" w:type="dxa"/>
          </w:tcPr>
          <w:p>
            <w:r>
              <w:t xml:space="preserve">k</w:t>
            </w:r>
          </w:p>
        </w:tc>
        <w:tc>
          <w:tcPr>
            <w:tcW w:w="1800" w:type="dxa"/>
          </w:tcPr>
          <w:p>
            <w:r>
              <w:t xml:space="preserve">1,95</w:t>
            </w:r>
          </w:p>
        </w:tc>
        <w:tc>
          <w:tcPr>
            <w:tcW w:w="6400" w:type="dxa"/>
          </w:tcPr>
          <w:p>
            <w:r>
              <w:t xml:space="preserve">насыщающая кривая</w:t>
            </w:r>
          </w:p>
        </w:tc>
      </w:tr>
      <w:tr>
        <w:tc>
          <w:tcPr>
            <w:tcW w:w="1400" w:type="dxa"/>
          </w:tcPr>
          <w:p>
            <w:r>
              <w:t xml:space="preserve">α</w:t>
            </w:r>
          </w:p>
        </w:tc>
        <w:tc>
          <w:tcPr>
            <w:tcW w:w="1800" w:type="dxa"/>
          </w:tcPr>
          <w:p>
            <w:r>
              <w:t xml:space="preserve">0,5</w:t>
            </w:r>
          </w:p>
        </w:tc>
        <w:tc>
          <w:tcPr>
            <w:tcW w:w="6400" w:type="dxa"/>
          </w:tcPr>
          <w:p>
            <w:r>
              <w:t xml:space="preserve">асимметрия деэскалации</w:t>
            </w:r>
          </w:p>
        </w:tc>
      </w:tr>
      <w:tr>
        <w:tc>
          <w:tcPr>
            <w:tcW w:w="1400" w:type="dxa"/>
          </w:tcPr>
          <w:p>
            <w:r>
              <w:t xml:space="preserve">λ</w:t>
            </w:r>
          </w:p>
        </w:tc>
        <w:tc>
          <w:tcPr>
            <w:tcW w:w="1800" w:type="dxa"/>
          </w:tcPr>
          <w:p>
            <w:r>
              <w:t xml:space="preserve">0,6</w:t>
            </w:r>
          </w:p>
        </w:tc>
        <w:tc>
          <w:tcPr>
            <w:tcW w:w="6400" w:type="dxa"/>
          </w:tcPr>
          <w:p>
            <w:r>
              <w:t xml:space="preserve">вес деэскалации Д8</w:t>
            </w:r>
          </w:p>
        </w:tc>
      </w:tr>
      <w:tr>
        <w:tc>
          <w:tcPr>
            <w:tcW w:w="1400" w:type="dxa"/>
          </w:tcPr>
          <w:p>
            <w:r>
              <w:t xml:space="preserve">ρ</w:t>
            </w:r>
          </w:p>
        </w:tc>
        <w:tc>
          <w:tcPr>
            <w:tcW w:w="1800" w:type="dxa"/>
          </w:tcPr>
          <w:p>
            <w:r>
              <w:t xml:space="preserve">0,25</w:t>
            </w:r>
          </w:p>
        </w:tc>
        <w:tc>
          <w:tcPr>
            <w:tcW w:w="6400" w:type="dxa"/>
          </w:tcPr>
          <w:p>
            <w:r>
              <w:t xml:space="preserve">предельная доля Д9</w:t>
            </w:r>
          </w:p>
        </w:tc>
      </w:tr>
      <w:tr>
        <w:tc>
          <w:tcPr>
            <w:tcW w:w="1400" w:type="dxa"/>
          </w:tcPr>
          <w:p>
            <w:r>
              <w:t xml:space="preserve">U_abs</w:t>
            </w:r>
          </w:p>
        </w:tc>
        <w:tc>
          <w:tcPr>
            <w:tcW w:w="1800" w:type="dxa"/>
          </w:tcPr>
          <w:p>
            <w:r>
              <w:t xml:space="preserve">0,025</w:t>
            </w:r>
          </w:p>
        </w:tc>
        <w:tc>
          <w:tcPr>
            <w:tcW w:w="6400" w:type="dxa"/>
          </w:tcPr>
          <w:p>
            <w:r>
              <w:t xml:space="preserve">потолок Д9 при нуле сигналов</w:t>
            </w:r>
          </w:p>
        </w:tc>
      </w:tr>
      <w:tr>
        <w:tc>
          <w:tcPr>
            <w:tcW w:w="1400" w:type="dxa"/>
          </w:tcPr>
          <w:p>
            <w:r>
              <w:t xml:space="preserve">γ</w:t>
            </w:r>
          </w:p>
        </w:tc>
        <w:tc>
          <w:tcPr>
            <w:tcW w:w="1800" w:type="dxa"/>
          </w:tcPr>
          <w:p>
            <w:r>
              <w:t xml:space="preserve">0,5</w:t>
            </w:r>
          </w:p>
        </w:tc>
        <w:tc>
          <w:tcPr>
            <w:tcW w:w="6400" w:type="dxa"/>
          </w:tcPr>
          <w:p>
            <w:r>
              <w:t xml:space="preserve">структурная экспозиция региона</w:t>
            </w:r>
          </w:p>
        </w:tc>
      </w:tr>
      <w:tr>
        <w:tc>
          <w:tcPr>
            <w:tcW w:w="1400" w:type="dxa"/>
          </w:tcPr>
          <w:p>
            <w:r>
              <w:t xml:space="preserve">κ</w:t>
            </w:r>
          </w:p>
        </w:tc>
        <w:tc>
          <w:tcPr>
            <w:tcW w:w="1800" w:type="dxa"/>
          </w:tcPr>
          <w:p>
            <w:r>
              <w:t xml:space="preserve">0,85</w:t>
            </w:r>
          </w:p>
        </w:tc>
        <w:tc>
          <w:tcPr>
            <w:tcW w:w="6400" w:type="dxa"/>
          </w:tcPr>
          <w:p>
            <w:r>
              <w:t xml:space="preserve">зеркалирование глобального шока</w:t>
            </w:r>
          </w:p>
        </w:tc>
      </w:tr>
      <w:tr>
        <w:tc>
          <w:tcPr>
            <w:tcW w:w="1400" w:type="dxa"/>
          </w:tcPr>
          <w:p>
            <w:r>
              <w:t xml:space="preserve">n₀</w:t>
            </w:r>
          </w:p>
        </w:tc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6400" w:type="dxa"/>
          </w:tcPr>
          <w:p>
            <w:r>
              <w:t xml:space="preserve">сжатие регионального отклонения</w:t>
            </w:r>
          </w:p>
        </w:tc>
      </w:tr>
      <w:tr>
        <w:tc>
          <w:tcPr>
            <w:tcW w:w="1400" w:type="dxa"/>
          </w:tcPr>
          <w:p>
            <w:r>
              <w:t xml:space="preserve">clamp</w:t>
            </w:r>
          </w:p>
        </w:tc>
        <w:tc>
          <w:tcPr>
            <w:tcW w:w="1800" w:type="dxa"/>
          </w:tcPr>
          <w:p>
            <w:r>
              <w:t xml:space="preserve">±40</w:t>
            </w:r>
          </w:p>
        </w:tc>
        <w:tc>
          <w:tcPr>
            <w:tcW w:w="6400" w:type="dxa"/>
          </w:tcPr>
          <w:p>
            <w:r>
              <w:t xml:space="preserve">предел регионального отклонения, п.п.</w:t>
            </w:r>
          </w:p>
        </w:tc>
      </w:tr>
      <w:tr>
        <w:tc>
          <w:tcPr>
            <w:tcW w:w="1400" w:type="dxa"/>
          </w:tcPr>
          <w:p>
            <w:r>
              <w:t xml:space="preserve">β↑ / β↓</w:t>
            </w:r>
          </w:p>
        </w:tc>
        <w:tc>
          <w:tcPr>
            <w:tcW w:w="1800" w:type="dxa"/>
          </w:tcPr>
          <w:p>
            <w:r>
              <w:t xml:space="preserve">0,9 / 0,5</w:t>
            </w:r>
          </w:p>
        </w:tc>
        <w:tc>
          <w:tcPr>
            <w:tcW w:w="6400" w:type="dxa"/>
          </w:tcPr>
          <w:p>
            <w:r>
              <w:t xml:space="preserve">инерция</w:t>
            </w:r>
          </w:p>
        </w:tc>
      </w:tr>
      <w:tr>
        <w:tc>
          <w:tcPr>
            <w:tcW w:w="1400" w:type="dxa"/>
          </w:tcPr>
          <w:p>
            <w:r>
              <w:t xml:space="preserve">Structural Break</w:t>
            </w:r>
          </w:p>
        </w:tc>
        <w:tc>
          <w:tcPr>
            <w:tcW w:w="1800" w:type="dxa"/>
          </w:tcPr>
          <w:p>
            <w:r>
              <w:t xml:space="preserve">0,8 / 0,2 / 2 недели</w:t>
            </w:r>
          </w:p>
        </w:tc>
        <w:tc>
          <w:tcPr>
            <w:tcW w:w="6400" w:type="dxa"/>
          </w:tcPr>
          <w:p>
            <w:r>
              <w:t xml:space="preserve">переопределение инерции</w:t>
            </w:r>
          </w:p>
        </w:tc>
      </w:tr>
      <w:tr>
        <w:tc>
          <w:tcPr>
            <w:tcW w:w="1400" w:type="dxa"/>
          </w:tcPr>
          <w:p>
            <w:r>
              <w:t xml:space="preserve">Порог покрытия драйвера</w:t>
            </w:r>
          </w:p>
        </w:tc>
        <w:tc>
          <w:tcPr>
            <w:tcW w:w="1800" w:type="dxa"/>
          </w:tcPr>
          <w:p>
            <w:r>
              <w:t xml:space="preserve">0,5</w:t>
            </w:r>
          </w:p>
        </w:tc>
        <w:tc>
          <w:tcPr>
            <w:tcW w:w="6400" w:type="dxa"/>
          </w:tcPr>
          <w:p>
            <w:r>
              <w:t xml:space="preserve">правило null</w:t>
            </w:r>
          </w:p>
        </w:tc>
      </w:tr>
      <w:tr>
        <w:tc>
          <w:tcPr>
            <w:tcW w:w="1400" w:type="dxa"/>
          </w:tcPr>
          <w:p>
            <w:r>
              <w:t xml:space="preserve">CAP</w:t>
            </w:r>
          </w:p>
        </w:tc>
        <w:tc>
          <w:tcPr>
            <w:tcW w:w="1800" w:type="dxa"/>
          </w:tcPr>
          <w:p>
            <w:r>
              <w:t xml:space="preserve">5</w:t>
            </w:r>
          </w:p>
        </w:tc>
        <w:tc>
          <w:tcPr>
            <w:tcW w:w="6400" w:type="dxa"/>
          </w:tcPr>
          <w:p>
            <w:r>
              <w:t xml:space="preserve">нормировка счётных критериев</w:t>
            </w:r>
          </w:p>
        </w:tc>
      </w:tr>
      <w:tr>
        <w:tc>
          <w:tcPr>
            <w:tcW w:w="1400" w:type="dxa"/>
          </w:tcPr>
          <w:p>
            <w:r>
              <w:t xml:space="preserve">Веса событий</w:t>
            </w:r>
          </w:p>
        </w:tc>
        <w:tc>
          <w:tcPr>
            <w:tcW w:w="1800" w:type="dxa"/>
          </w:tcPr>
          <w:p>
            <w:r>
              <w:t xml:space="preserve">0,2 / 0,5 / 1,0 / 2,0</w:t>
            </w:r>
          </w:p>
        </w:tc>
        <w:tc>
          <w:tcPr>
            <w:tcW w:w="6400" w:type="dxa"/>
          </w:tcPr>
          <w:p>
            <w:r>
              <w:t xml:space="preserve">счётные критерии</w:t>
            </w:r>
          </w:p>
        </w:tc>
      </w:tr>
      <w:tr>
        <w:tc>
          <w:tcPr>
            <w:tcW w:w="1400" w:type="dxa"/>
          </w:tcPr>
          <w:p>
            <w:r>
              <w:t xml:space="preserve">Порог чувствительности</w:t>
            </w:r>
          </w:p>
        </w:tc>
        <w:tc>
          <w:tcPr>
            <w:tcW w:w="1800" w:type="dxa"/>
          </w:tcPr>
          <w:p>
            <w:r>
              <w:t xml:space="preserve">5 п.п.</w:t>
            </w:r>
          </w:p>
        </w:tc>
        <w:tc>
          <w:tcPr>
            <w:tcW w:w="6400" w:type="dxa"/>
          </w:tcPr>
          <w:p>
            <w:r>
              <w:t xml:space="preserve">пометка в публикации</w:t>
            </w:r>
          </w:p>
        </w:tc>
      </w:tr>
      <w:tr>
        <w:tc>
          <w:tcPr>
            <w:tcW w:w="1400" w:type="dxa"/>
          </w:tcPr>
          <w:p>
            <w:r>
              <w:t xml:space="preserve">Веса драйверов</w:t>
            </w:r>
          </w:p>
        </w:tc>
        <w:tc>
          <w:tcPr>
            <w:tcW w:w="1800" w:type="dxa"/>
          </w:tcPr>
          <w:p>
            <w:r>
              <w:t xml:space="preserve">0,1175 (Д1–Д8) / 0,06 (Д9)</w:t>
            </w:r>
          </w:p>
        </w:tc>
        <w:tc>
          <w:tcPr>
            <w:tcW w:w="6400" w:type="dxa"/>
          </w:tcPr>
          <w:p>
            <w:r>
              <w:t xml:space="preserve">взвешенная сумма, Σ = 1,0</w:t>
            </w:r>
          </w:p>
        </w:tc>
      </w:tr>
    </w:tbl>
    <w:p>
      <w:pPr>
        <w:pStyle w:val="Heading1"/>
      </w:pPr>
      <w:r>
        <w:t xml:space="preserve">Приложение C. Воспроизведение результатов (команды)</w:t>
      </w:r>
    </w:p>
    <w:p>
      <w:r>
        <w:rPr>
          <w:i/>
          <w:color w:val="595959"/>
        </w:rPr>
        <w:t xml:space="preserve">Примечание для автора (удалить): Команды из каркаса рукописи (docs/peer-review/manuscript.md, раздел «Что рецензент может проверить за час»). Репозиторий: susotoze13-afk/cassandra-index; сайт: https://cassindex.ru.</w:t>
      </w:r>
    </w:p>
    <w:p>
      <w:r>
        <w:t xml:space="preserve">1. node --test — запуск тестов (включая пины точных чисел опубликованных недель, паритет публичного слоя, схемы);</w:t>
      </w:r>
    </w:p>
    <w:p>
      <w:r>
        <w:t xml:space="preserve">2. node calc/calc.js 2026-10-18 — пересчёт недели без записи; результат сравнивается с data/2026-10-18/global.js;</w:t>
      </w:r>
    </w:p>
    <w:p>
      <w:r>
        <w:t xml:space="preserve">3. node calc/calibrate.js — сетка k, выбор параметра, verify-якоря, чувствительность;</w:t>
      </w:r>
    </w:p>
    <w:p>
      <w:r>
        <w:t xml:space="preserve">4. data/public/validation.json — числа раздела 6 вместе с протоколом и оговорками;</w:t>
      </w:r>
    </w:p>
    <w:p>
      <w:r>
        <w:t xml:space="preserve">5. docs/api.md и data/public/schema/v1/*.json — контракт публичного слоя данных;</w:t>
      </w:r>
    </w:p>
    <w:p>
      <w:r>
        <w:t xml:space="preserve">6. data/audit.jsonl — журнал аудита пересчётов с хеш-цепочкой;</w:t>
      </w:r>
    </w:p>
    <w:p>
      <w:r>
        <w:t xml:space="preserve">7. docs/adr/ — архитектурные решения с мотивировкой, включая зафиксированные отступления.</w:t>
      </w:r>
    </w:p>
    <w:p>
      <w:pPr>
        <w:pStyle w:val="Heading1"/>
      </w:pPr>
      <w:r>
        <w:t xml:space="preserve">Приложение D. Сообщение для редактора об использовании инструментов ИИ</w:t>
      </w:r>
    </w:p>
    <w:p>
      <w:r>
        <w:rPr>
          <w:i/>
          <w:color w:val="595959"/>
        </w:rPr>
        <w:t xml:space="preserve">Примечание для автора (удалить): Дословно совпадает с сообщением в начале файла; по правилам журнала — в начале файла, здесь дубль для приложения, если редакция попросит отдельно.</w:t>
      </w:r>
    </w:p>
    <w:p>
      <w:r>
        <w:t xml:space="preserve">При подготовке рукописи использовались инструменты искусственного интеллекта в следующем объёме: (1) агенты-программисты применялись при разработке кода и документации вычислительного конвейера, результаты их работы проверялись и принимались автором, расчёты детерминированы и воспроизводятся командой из приложения C; (2) инструменты ИИ не применялись для сбора источников, их кодирования по критериям и для интерпретации результатов; (3) текст рукописи написан автором. Публикуемые числа получены детерминированным конвейером и зафиксированы тестами; запись работы над кодом доступна в истории репозитория.</w:t>
      </w:r>
    </w:p>
    <w:p>
      <w:pPr>
        <w:pStyle w:val="Heading1"/>
      </w:pPr>
      <w:r>
        <w:t xml:space="preserve">Литература</w:t>
      </w:r>
    </w:p>
    <w:p>
      <w:r>
        <w:rPr>
          <w:i/>
          <w:color w:val="595959"/>
        </w:rPr>
        <w:t xml:space="preserve">Примечание для автора (удалить): 8 работ, алфавитный порядок. EDN вписать вручную с elibrary.ru (у всех работ стоит плейсхолдер «EDN: (вписать)»). Каждый источник должен быть процитирован в тексте в формате [Автор год: с.].</w:t>
      </w:r>
    </w:p>
    <w:p>
      <w:r>
        <w:t xml:space="preserve">Ахременко А. С., Горельский И. А., Мельвиль А. Ю. (2019). Как и зачем измерять и сравнивать государственную состоятельность разных стран мира? // Полис. Политические исследования. № 2. С. 8–23. DOI: 10.17976/jpps/2019.02.02. EDN: (вписать).</w:t>
      </w:r>
    </w:p>
    <w:p>
      <w:r>
        <w:t xml:space="preserve">Барановский В. Г., Кувалдин В. Б. (2023). Глобальный конфликт: атрибут меняющегося миропорядка или устаревший инструмент его трансформации? // Полис. Политические исследования. № 6. С. 8–20. DOI: 10.17976/jpps/2023.06.02. EDN: (вписать).</w:t>
      </w:r>
    </w:p>
    <w:p>
      <w:r>
        <w:t xml:space="preserve">Голубев Д. А. (2019). Факторы вероятности трансграничного распространения внутригосударственных вооруженных конфликтов. // Полис. Политические исследования. № 2. С. 41–58. DOI: 10.17976/jpps/2019.02.04. EDN: (вписать).</w:t>
      </w:r>
    </w:p>
    <w:p>
      <w:r>
        <w:t xml:space="preserve">Зотьева А. Д. (2020). О социологических индексах с нормальным законом распределения. // Мониторинг общественного мнения: экономические и социальные перемены. № 4. DOI: 10.14515/monitoring.2020.4.1253. EDN: (вписать).</w:t>
      </w:r>
    </w:p>
    <w:p>
      <w:r>
        <w:t xml:space="preserve">Мельвиль А. Ю., Мальгин А. В., Миронюк М. Г., Стукал Д. В. (2023). «Политический атлас современного мира 2.0»: к постановке исследовательской задачи. // Полис. Политические исследования. № 2. С. 72–87. DOI: 10.17976/jpps/2023.02.06. EDN: (вписать).</w:t>
      </w:r>
    </w:p>
    <w:p>
      <w:r>
        <w:t xml:space="preserve">Мельвиль А. Ю., Мальгин А. В., Миронюк М. Г., Стукал Д. В. (2023). Эмпирические вызовы и методологические подходы в сравнительной политологии (сквозь призму «Политического атласа современного мира 2.0»). // Полис. Политические исследования. № 5. С. 153–171. DOI: 10.17976/jpps/2023.05.10. EDN: (вписать).</w:t>
      </w:r>
    </w:p>
    <w:p>
      <w:r>
        <w:t xml:space="preserve">Нестик Т. А., Задорин И. В. (2020). Отношение россиян к глобальным рискам: социально-демографические и психологические факторы восприятия угроз. // Мониторинг общественного мнения: экономические и социальные перемены. № 5. DOI: 10.14515/monitoring.2020.5.1700. EDN: (вписать).</w:t>
      </w:r>
    </w:p>
    <w:p>
      <w:r>
        <w:t xml:space="preserve">Хворостов А. В. (2020). Что такое демократия и как ее измерить? // Полис. Политические исследования. № 3. С. 169–180. DOI: 10.17976/jpps/2020.03.12. EDN: (вписать).</w:t>
      </w:r>
    </w:p>
    <w:p>
      <w:pPr>
        <w:pStyle w:val="Heading1"/>
      </w:pPr>
      <w:r>
        <w:t xml:space="preserve">References</w:t>
      </w:r>
    </w:p>
    <w:p>
      <w:r>
        <w:rPr>
          <w:i/>
          <w:color w:val="595959"/>
        </w:rPr>
        <w:t xml:space="preserve">Примечание для автора (удалить): 29 works, alphabetical order. DOI проверены через Crossref 2026-10-25. Интернет-ресурсы (сайты индексов FSI, INFORM, GPI и т. п.) — в постраничные сноски, не в список.</w:t>
      </w:r>
    </w:p>
    <w:p>
      <w:r>
        <w:t xml:space="preserve">Becker W., Saisana M., Paruolo P., Vandecasteele I. (2017). Weights and importance in composite indicators: Closing the gap // Ecological Indicators. Vol. 80. P. 12–22. DOI: 10.1016/j.ecolind.2017.03.056.</w:t>
      </w:r>
    </w:p>
    <w:p>
      <w:r>
        <w:t xml:space="preserve">Bowlsby D., Chenoweth E., Hendrix C., Moyer J. D. (2020). The Future is a Moving Target: Predicting Political Instability // British Journal of Political Science. Vol. 50. № 4. P. 1405–1417. DOI: 10.1017/s0007123418000443.</w:t>
      </w:r>
    </w:p>
    <w:p>
      <w:r>
        <w:t xml:space="preserve">Caldara D., Iacoviello M. (2022). Measuring Geopolitical Risk // American Economic Review. Vol. 112. № 4. P. 1194–1225. DOI: 10.1257/aer.20191823.</w:t>
      </w:r>
    </w:p>
    <w:p>
      <w:r>
        <w:t xml:space="preserve">Christensen G., Freese J., Miguel E. (2019). Transparent and Reproducible Social Science Research. Oakland: University of California Press.</w:t>
      </w:r>
    </w:p>
    <w:p>
      <w:r>
        <w:t xml:space="preserve">Cohen J. (1960). A Coefficient of Agreement for Nominal Scales // Educational and Psychological Measurement. Vol. 20. № 1. P. 37–46. DOI: 10.1177/001316446002000104.</w:t>
      </w:r>
    </w:p>
    <w:p>
      <w:r>
        <w:t xml:space="preserve">Davies S., Pettersson T., Öberg M. (2022). Organized violence 1989–2021 and drone warfare // Journal of Peace Research. Vol. 59. № 4. P. 593–610. DOI: 10.1177/00223433221108428.</w:t>
      </w:r>
    </w:p>
    <w:p>
      <w:r>
        <w:t xml:space="preserve">Eck K. (2012). In data we trust? A comparison of UCDP GED and ACLED conflict events datasets // Cooperation and Conflict. Vol. 47. № 1. P. 124–141. DOI: 10.1177/0010836711434463.</w:t>
      </w:r>
    </w:p>
    <w:p>
      <w:r>
        <w:t xml:space="preserve">Freudenberg M. (2003). Composite Indicators of Country Performance: A Critical Assessment. OECD Science, Technology and Industry Working Papers. 2003/16. DOI: 10.1787/405566708255.</w:t>
      </w:r>
    </w:p>
    <w:p>
      <w:r>
        <w:t xml:space="preserve">Gneiting T., Raftery A. E. (2007). Strictly Proper Scoring Rules, Prediction, and Estimation // Journal of the American Statistical Association. Vol. 102. № 477. P. 359–378. DOI: 10.1198/016214506000001437.</w:t>
      </w:r>
    </w:p>
    <w:p>
      <w:r>
        <w:t xml:space="preserve">Gohdes A., Price M. (2013). First Things First: Assessing Data Quality before Model Quality // Journal of Conflict Resolution. Vol. 57. № 6. P. 1090–1108. DOI: 10.1177/0022002712459708.</w:t>
      </w:r>
    </w:p>
    <w:p>
      <w:r>
        <w:t xml:space="preserve">Goldstone J. A., Bates R. H., Epstein D. L. et al. (2010). A Global Model for Forecasting Political Instability // American Journal of Political Science. Vol. 54. № 1. P. 190–208. DOI: 10.1111/j.1540-5907.2009.00426.x.</w:t>
      </w:r>
    </w:p>
    <w:p>
      <w:r>
        <w:t xml:space="preserve">Greco S., Ishizaka A., Tasiou M., Torrisi G. (2019). On the Methodological Framework of Composite Indices: A Review of the Issues of Weighting, Aggregation, and Robustness // Social Indicators Research. Vol. 141. № 1. P. 61–94. DOI: 10.1007/s11205-017-1832-9.</w:t>
      </w:r>
    </w:p>
    <w:p>
      <w:r>
        <w:t xml:space="preserve">Hayes A. F., Krippendorff K. (2007). Answering the Call for a Standard Reliability Measure for Coding Data // Communication Methods and Measures. Vol. 1. № 1. P. 77–89. DOI: 10.1080/19312450709336664.</w:t>
      </w:r>
    </w:p>
    <w:p>
      <w:r>
        <w:t xml:space="preserve">Hegre H., Karlsen J., Nygård H. M., Strand H., Urdal H. (2013). Predicting Armed Conflict, 2010–2050 // International Studies Quarterly. Vol. 57. № 2. P. 250–270. DOI: 10.1111/isqu.12007.</w:t>
      </w:r>
    </w:p>
    <w:p>
      <w:r>
        <w:t xml:space="preserve">Hegre H., Metternich N. W., Nygård H. M., Wucherpfennig J. (2017). Introduction: Forecasting in Peace Research // Journal of Peace Research. Vol. 54. № 2. P. 113–124. DOI: 10.1177/0022343317691330.</w:t>
      </w:r>
    </w:p>
    <w:p>
      <w:r>
        <w:t xml:space="preserve">Landis J. R., Koch G. G. (1977). The Measurement of Observer Agreement for Categorical Data // Biometrics. Vol. 33. № 1. P. 159–174. DOI: 10.2307/2529310.</w:t>
      </w:r>
    </w:p>
    <w:p>
      <w:r>
        <w:t xml:space="preserve">Munafò M. R., Nosek B. A., Bishop D. V. M. et al. (2017). A manifesto for reproducible science // Nature Human Behaviour. Vol. 1. Article 0021. DOI: 10.1038/s41562-016-0021.</w:t>
      </w:r>
    </w:p>
    <w:p>
      <w:r>
        <w:t xml:space="preserve">Nosek B. A., Alter G., Banks G. C. et al. (2015). Promoting an open research culture // Science. Vol. 348. № 6242. P. 1422–1425. DOI: 10.1126/science.aab2374.</w:t>
      </w:r>
    </w:p>
    <w:p>
      <w:r>
        <w:t xml:space="preserve">OECD, Joint Research Centre (2008). Handbook on Constructing Composite Indicators: Methodology and User Guide. Paris: OECD Publishing. DOI: 10.1787/9789264043466-en.</w:t>
      </w:r>
    </w:p>
    <w:p>
      <w:r>
        <w:t xml:space="preserve">Paruolo P., Saisana M., Saltelli A. (2013). Ratings and Rankings: Voodoo or Science? // Journal of the Royal Statistical Society: Series A. Vol. 176. № 3. P. 609–634. DOI: 10.1111/j.1467-985X.2012.01059.x.</w:t>
      </w:r>
    </w:p>
    <w:p>
      <w:r>
        <w:t xml:space="preserve">Raleigh C., Linke A., Hegre H., Karlsen J. (2010). Introducing ACLED: An Armed Conflict Location and Event Dataset // Journal of Peace Research. Vol. 47. № 5. P. 651–660. DOI: 10.1177/0022343310378914.</w:t>
      </w:r>
    </w:p>
    <w:p>
      <w:r>
        <w:t xml:space="preserve">Saisana M., Saltelli A., Tarantola S. (2005). Uncertainty and Sensitivity Analysis Techniques as Tools for the Quality Assessment of Composite Indicators // Journal of the Royal Statistical Society: Series A. Vol. 168. № 2. P. 307–323. DOI: 10.1111/j.1467-985X.2005.00350.x.</w:t>
      </w:r>
    </w:p>
    <w:p>
      <w:r>
        <w:t xml:space="preserve">Saltelli A., Bammer G., Bruno I. et al. (2020). Five ways to ensure that models serve society: a manifesto // Nature. Vol. 582. P. 482–484. DOI: 10.1038/d41586-020-01812-9.</w:t>
      </w:r>
    </w:p>
    <w:p>
      <w:r>
        <w:t xml:space="preserve">Stevens S. S. (1946). On the Theory of Scales of Measurement // Science. Vol. 103. № 2684. P. 677–680. DOI: 10.1126/science.103.2684.677.</w:t>
      </w:r>
    </w:p>
    <w:p>
      <w:r>
        <w:t xml:space="preserve">Sundberg R., Melander E. (2013). Introducing the UCDP Georeferenced Event Dataset // Journal of Peace Research. Vol. 50. № 4. P. 523–532. DOI: 10.1177/0022343313484347.</w:t>
      </w:r>
    </w:p>
    <w:p>
      <w:r>
        <w:t xml:space="preserve">Tetlock P. E. (2005). Expert Political Judgment: How Good Is It? How Can We Know? Princeton: Princeton University Press.</w:t>
      </w:r>
    </w:p>
    <w:p>
      <w:r>
        <w:t xml:space="preserve">Ward M. D., Greenhill B. D., Bakke K. M. (2010). The perils of policy by p-value: Predicting civil conflicts // Journal of Peace Research. Vol. 47. № 4. P. 363–375. DOI: 10.1177/0022343309356491.</w:t>
      </w:r>
    </w:p>
    <w:p>
      <w:r>
        <w:t xml:space="preserve">Weidmann N. B. (2016). A Closer Look at Reporting Bias in Conflict Event Data // American Journal of Political Science. Vol. 60. № 1. P. 206–218. DOI: 10.1111/ajps.12196.</w:t>
      </w:r>
    </w:p>
    <w:p>
      <w:r>
        <w:t xml:space="preserve">Wilkinson M. D., Dumontier M., Aalbersberg I. J. et al. (2016). The FAIR Guiding Principles for scientific data management and stewardship // Scientific Data. Vol. 3. Article 160018. DOI: 10.1038/sdata.2016.18.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pPr>
      <w:spacing w:after="120" w:line="360" w:lineRule="auto"/>
      <w:ind w:firstLine="708"/>
    </w:pPr>
  </w:style>
  <w:style w:type="paragraph" w:styleId="Title">
    <w:name w:val="Title"/>
    <w:basedOn w:val="Normal"/>
    <w:pPr>
      <w:jc w:val="center"/>
      <w:spacing w:before="240" w:after="240"/>
      <w:ind w:firstLine="0"/>
    </w:pPr>
    <w:rPr>
      <w:b/>
      <w:sz w:val="32"/>
      <w:szCs w:val="32"/>
    </w:rPr>
  </w:style>
  <w:style w:type="paragraph" w:styleId="Heading1">
    <w:name w:val="heading 1"/>
    <w:basedOn w:val="Normal"/>
    <w:pPr>
      <w:keepNext/>
      <w:spacing w:before="360" w:after="120"/>
      <w:ind w:firstLine="0"/>
      <w:outlineLvl w:val="0"/>
    </w:pPr>
    <w:rPr>
      <w:b/>
      <w:sz w:val="28"/>
      <w:szCs w:val="28"/>
    </w:rPr>
  </w:style>
  <w:style w:type="paragraph" w:styleId="Heading2">
    <w:name w:val="heading 2"/>
    <w:basedOn w:val="Normal"/>
    <w:pPr>
      <w:keepNext/>
      <w:spacing w:before="240" w:after="120"/>
      <w:ind w:firstLine="0"/>
      <w:outlineLvl w:val="1"/>
    </w:pPr>
    <w:rPr>
      <w:b/>
      <w:i/>
      <w:sz w:val="24"/>
      <w:szCs w:val="24"/>
    </w:rPr>
  </w:style>
  <w:style w:type="paragraph" w:styleId="Caption">
    <w:name w:val="caption"/>
    <w:basedOn w:val="Normal"/>
    <w:pPr>
      <w:spacing w:before="120" w:after="240"/>
      <w:ind w:firstLine="0"/>
    </w:pPr>
    <w:rPr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