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i w:val="0"/>
          <w:sz w:val="28"/>
        </w:rPr>
        <w:t>Cassandra Index — рукопись для журнала «Полис. Политические исследования»</w:t>
      </w:r>
    </w:p>
    <w:p>
      <w:pPr>
        <w:spacing w:after="240"/>
      </w:pPr>
      <w:r>
        <w:rPr>
          <w:b w:val="0"/>
          <w:i/>
          <w:color w:val="606060"/>
          <w:sz w:val="20"/>
        </w:rPr>
        <w:t>Скелет: структура, поля и факты. Текст статьи пишет автор — по правилам журнала непосредственное написание текста инструментами ИИ не допускается.</w:t>
      </w:r>
    </w:p>
    <w:p>
      <w:pPr>
        <w:pStyle w:val="Heading1"/>
      </w:pPr>
      <w:r>
        <w:t>Сообщение для редактора (не для печати)</w:t>
      </w:r>
    </w:p>
    <w:p>
      <w:pPr>
        <w:spacing w:after="120"/>
      </w:pPr>
      <w:r>
        <w:rPr>
          <w:b w:val="0"/>
          <w:i/>
          <w:color w:val="606060"/>
          <w:sz w:val="20"/>
        </w:rPr>
        <w:t>Правило журнала: если при подготовке использовались инструменты ИИ, об этом заявляют в начале файла, с указанием процедур и частей рукописи (стр. «Использование инструментов ИИ»).</w:t>
      </w:r>
    </w:p>
    <w:p>
      <w:pPr>
        <w:spacing w:after="120"/>
      </w:pPr>
      <w:r>
        <w:rPr>
          <w:b w:val="0"/>
          <w:i w:val="0"/>
        </w:rPr>
        <w:t>При подготовке рукописи использовались инструменты искусственного интеллекта в следующем объёме: (1) агенты-программисты применялись при разработке кода и документации вычислительного конвейера; результаты их работы проверялись и принимались автором, расчёты детерминированы и воспроизводятся командой из Приложения В; (2) инструменты ИИ не применялись для сбора источников, их кодирования по критериям и для интерпретации результатов; (3) текст рукописи написан автором.</w:t>
      </w:r>
    </w:p>
    <w:p>
      <w:pPr>
        <w:spacing w:after="120"/>
      </w:pPr>
      <w:r>
        <w:rPr>
          <w:b w:val="0"/>
          <w:i/>
          <w:color w:val="606060"/>
          <w:sz w:val="20"/>
        </w:rPr>
        <w:t>Проверить перед отправкой: если какая-то часть текста готовилась с ИИ (в том числе редактура), дописать это в сообщение — иначе политика журнала нарушена.</w:t>
      </w:r>
    </w:p>
    <w:p>
      <w:pPr>
        <w:pStyle w:val="Heading1"/>
      </w:pPr>
      <w:r>
        <w:t>Сведения об авторе и название</w:t>
      </w:r>
    </w:p>
    <w:p>
      <w:pPr>
        <w:spacing w:after="40"/>
      </w:pPr>
      <w:r>
        <w:rPr>
          <w:b/>
        </w:rPr>
        <w:t xml:space="preserve">ФИО (рус.): </w:t>
      </w:r>
      <w:r/>
    </w:p>
    <w:p>
      <w:pPr>
        <w:spacing w:after="40"/>
      </w:pPr>
      <w:r>
        <w:rPr>
          <w:b/>
        </w:rPr>
        <w:t xml:space="preserve">ФИО (лат., транслитерация): </w:t>
      </w:r>
      <w:r/>
    </w:p>
    <w:p>
      <w:pPr>
        <w:spacing w:after="40"/>
      </w:pPr>
      <w:r>
        <w:rPr>
          <w:b/>
        </w:rPr>
        <w:t xml:space="preserve">Место работы, должность: </w:t>
      </w:r>
      <w:r/>
    </w:p>
    <w:p>
      <w:pPr>
        <w:spacing w:after="40"/>
      </w:pPr>
      <w:r>
        <w:rPr>
          <w:b/>
        </w:rPr>
        <w:t xml:space="preserve">Учёная степень: </w:t>
      </w:r>
      <w:r/>
    </w:p>
    <w:p>
      <w:pPr>
        <w:spacing w:after="40"/>
      </w:pPr>
      <w:r>
        <w:rPr>
          <w:b/>
        </w:rPr>
        <w:t xml:space="preserve">Город, страна: </w:t>
      </w:r>
      <w:r/>
    </w:p>
    <w:p>
      <w:pPr>
        <w:spacing w:after="40"/>
      </w:pPr>
      <w:r>
        <w:rPr>
          <w:b/>
        </w:rPr>
        <w:t xml:space="preserve">Контактный email: </w:t>
      </w:r>
      <w:r/>
    </w:p>
    <w:p>
      <w:pPr>
        <w:spacing w:after="40"/>
      </w:pPr>
      <w:r>
        <w:rPr>
          <w:b/>
        </w:rPr>
        <w:t xml:space="preserve">Название статьи (рус.): </w:t>
      </w:r>
      <w:r/>
    </w:p>
    <w:p>
      <w:pPr>
        <w:spacing w:after="40"/>
      </w:pPr>
      <w:r>
        <w:rPr>
          <w:b/>
        </w:rPr>
        <w:t xml:space="preserve">Название статьи (англ.): </w:t>
      </w:r>
      <w:r/>
    </w:p>
    <w:p>
      <w:pPr>
        <w:spacing w:after="120"/>
      </w:pPr>
      <w:r>
        <w:rPr>
          <w:b w:val="0"/>
          <w:i/>
          <w:color w:val="606060"/>
          <w:sz w:val="20"/>
        </w:rPr>
        <w:t>Полис требует эти сведения на русском и английском. Транслитерацию фамилии не «улучшать»: иначе прежние публикации выпадут из поиска.</w:t>
      </w:r>
    </w:p>
    <w:p>
      <w:pPr>
        <w:pStyle w:val="Heading1"/>
      </w:pPr>
      <w:r>
        <w:t>Аннотация (240–280 слов)</w:t>
      </w:r>
    </w:p>
    <w:p>
      <w:pPr>
        <w:spacing w:after="120"/>
      </w:pPr>
      <w:r>
        <w:rPr>
          <w:b w:val="0"/>
          <w:i/>
          <w:color w:val="606060"/>
          <w:sz w:val="20"/>
        </w:rPr>
        <w:t>Журнал требует 240–280 слов и проверяет объём. Аннотация — самостоятельный аналитический текст: цель, задачи, структура работы, основные выводы. Без ссылок на литературу.</w:t>
      </w:r>
    </w:p>
    <w:p>
      <w:pPr>
        <w:spacing w:after="120"/>
      </w:pPr>
      <w:r>
        <w:rPr>
          <w:b w:val="0"/>
          <w:i w:val="0"/>
        </w:rPr>
      </w:r>
      <w:r>
        <w:rPr>
          <w:i/>
          <w:color w:val="606060"/>
        </w:rPr>
        <w:t>[Аннотация: цель — проверить, можно ли построить недельный индекс риска глобального конфликта на открытых данных так, чтобы читатель мог его пересчитать. Задачи: конструкт и границы, схема данных и кластеры источников, агрегация с насыщающей кривой и инерцией, калибровка на десяти якорях, внешняя сверка. Выводы: методика воспроизводима, калибровка устойчива, внешняя валидация пока не даёт согласия, и это публикуется как результат]</w:t>
      </w:r>
    </w:p>
    <w:p>
      <w:pPr>
        <w:pStyle w:val="Heading1"/>
      </w:pPr>
      <w:r>
        <w:t>Ключевые слова (не менее семи)</w:t>
      </w:r>
    </w:p>
    <w:p>
      <w:pPr>
        <w:spacing w:after="120"/>
      </w:pPr>
      <w:r>
        <w:rPr>
          <w:b w:val="0"/>
          <w:i w:val="0"/>
        </w:rPr>
      </w:r>
      <w:r>
        <w:rPr>
          <w:i/>
          <w:color w:val="606060"/>
        </w:rPr>
        <w:t>[индекс риска; композитный индикатор; открытые данные; порядковая шкала; калибровка; чувствительность; воспроизводимость]</w:t>
      </w:r>
    </w:p>
    <w:p>
      <w:pPr>
        <w:pStyle w:val="Heading1"/>
      </w:pPr>
      <w:r>
        <w:t>Abstract (английский, не дословный перевод)</w:t>
      </w:r>
    </w:p>
    <w:p>
      <w:pPr>
        <w:spacing w:after="120"/>
      </w:pPr>
      <w:r>
        <w:rPr>
          <w:b w:val="0"/>
          <w:i/>
          <w:color w:val="606060"/>
          <w:sz w:val="20"/>
        </w:rPr>
        <w:t>Требование журнала: грамотный академический английский, а не перевод с русского.</w:t>
      </w:r>
    </w:p>
    <w:p>
      <w:pPr>
        <w:spacing w:after="120"/>
      </w:pPr>
      <w:r>
        <w:rPr>
          <w:b w:val="0"/>
          <w:i w:val="0"/>
        </w:rPr>
      </w:r>
      <w:r>
        <w:rPr>
          <w:i/>
          <w:color w:val="606060"/>
        </w:rPr>
        <w:t>[Abstract]</w:t>
      </w:r>
    </w:p>
    <w:p>
      <w:pPr>
        <w:pStyle w:val="Heading1"/>
      </w:pPr>
      <w:r>
        <w:t>Keywords</w:t>
      </w:r>
    </w:p>
    <w:p>
      <w:pPr>
        <w:spacing w:after="120"/>
      </w:pPr>
      <w:r>
        <w:rPr>
          <w:b w:val="0"/>
          <w:i w:val="0"/>
        </w:rPr>
      </w:r>
      <w:r>
        <w:rPr>
          <w:i/>
          <w:color w:val="606060"/>
        </w:rPr>
        <w:t>[risk index; composite indicator; open data; ordinal scale; calibration; sensitivity; reproducibility]</w:t>
      </w:r>
    </w:p>
    <w:p>
      <w:pPr>
        <w:pStyle w:val="Heading1"/>
      </w:pPr>
      <w:r>
        <w:t>1. Постановка</w:t>
      </w:r>
    </w:p>
    <w:p>
      <w:pPr>
        <w:spacing w:after="120"/>
      </w:pPr>
      <w:r>
        <w:rPr>
          <w:b w:val="0"/>
          <w:i/>
          <w:color w:val="606060"/>
          <w:sz w:val="20"/>
        </w:rPr>
        <w:t>Каркас §1: docs/peer-review/manuscript.md, §1. Источник фактов: статья-аудит 12 индексов.</w:t>
      </w:r>
    </w:p>
    <w:p>
      <w:pPr>
        <w:pStyle w:val="ListBullet"/>
      </w:pPr>
      <w:r>
        <w:t>Почему композитные индексы риска проверяемы по-разному: данные открыты у одних, формула у других, внешняя проверка у третьих.</w:t>
      </w:r>
    </w:p>
    <w:p>
      <w:pPr>
        <w:pStyle w:val="ListBullet"/>
      </w:pPr>
      <w:r>
        <w:t>Разрыв, который закрывает работа: опубликованное число без возможности пересчёта.</w:t>
      </w:r>
    </w:p>
    <w:p>
      <w:pPr>
        <w:pStyle w:val="ListBullet"/>
      </w:pPr>
      <w:r>
        <w:t>Вклад: конструкт, схема данных, калибровка, отрицательный результат валидации.</w:t>
      </w:r>
    </w:p>
    <w:p>
      <w:pPr>
        <w:spacing w:after="120"/>
      </w:pPr>
      <w:r>
        <w:rPr>
          <w:b w:val="0"/>
          <w:i w:val="0"/>
        </w:rPr>
      </w:r>
      <w:r>
        <w:rPr>
          <w:i/>
          <w:color w:val="606060"/>
        </w:rPr>
        <w:t>[текст раздела 1]</w:t>
      </w:r>
    </w:p>
    <w:p>
      <w:pPr>
        <w:pStyle w:val="Heading1"/>
      </w:pPr>
      <w:r>
        <w:t>2. Что измеряет индекс и чего он не измеряет</w:t>
      </w:r>
    </w:p>
    <w:p>
      <w:pPr>
        <w:spacing w:after="120"/>
      </w:pPr>
      <w:r>
        <w:rPr>
          <w:b w:val="0"/>
          <w:i/>
          <w:color w:val="606060"/>
          <w:sz w:val="20"/>
        </w:rPr>
        <w:t>Каркас §2. Здесь нужна теоретическая рамка для политологического журнала: риск как свойство ситуации, а не вероятность события. Источник: METHODOLOGY.md §1.1–1.2, ADR 0048.</w:t>
      </w:r>
    </w:p>
    <w:p>
      <w:pPr>
        <w:pStyle w:val="ListBullet"/>
      </w:pPr>
      <w:r>
        <w:t>Определение «глобального военного конфликта» как типа события, а не статуса ситуации.</w:t>
      </w:r>
    </w:p>
    <w:p>
      <w:pPr>
        <w:pStyle w:val="ListBullet"/>
      </w:pPr>
      <w:r>
        <w:t>Три разные вещи: факт войны, уровень риска, вероятность события. Индекс — только второе.</w:t>
      </w:r>
    </w:p>
    <w:p>
      <w:pPr>
        <w:pStyle w:val="ListBullet"/>
      </w:pPr>
      <w:r>
        <w:t>Порядковая шкала с прокалиброванными границами; расстояние между числами — свойство модели.</w:t>
      </w:r>
    </w:p>
    <w:p>
      <w:pPr>
        <w:spacing w:after="120"/>
      </w:pPr>
      <w:r>
        <w:rPr>
          <w:b w:val="0"/>
          <w:i w:val="0"/>
        </w:rPr>
      </w:r>
      <w:r>
        <w:rPr>
          <w:i/>
          <w:color w:val="606060"/>
        </w:rPr>
        <w:t>[текст раздела 2]</w:t>
      </w:r>
    </w:p>
    <w:p>
      <w:pPr>
        <w:pStyle w:val="Heading1"/>
      </w:pPr>
      <w:r>
        <w:t>3. Данные</w:t>
      </w:r>
    </w:p>
    <w:p>
      <w:pPr>
        <w:spacing w:after="120"/>
      </w:pPr>
      <w:r>
        <w:rPr>
          <w:b w:val="0"/>
          <w:i/>
          <w:color w:val="606060"/>
          <w:sz w:val="20"/>
        </w:rPr>
        <w:t>Каркас §3. Источник: calc/input/&lt;неделя&gt;.json, docs/architecture.md, ADR 0040.</w:t>
      </w:r>
    </w:p>
    <w:p>
      <w:pPr>
        <w:pStyle w:val="ListBullet"/>
      </w:pPr>
      <w:r>
        <w:t>46 критериев → 9 драйверов; окно недели W−7…W; вход недели как JSON.</w:t>
      </w:r>
    </w:p>
    <w:p>
      <w:pPr>
        <w:pStyle w:val="ListBullet"/>
      </w:pPr>
      <w:r>
        <w:t>Схема записи источника: тип, домен, кластер A–F, даты, цитаты, государственная принадлежность.</w:t>
      </w:r>
    </w:p>
    <w:p>
      <w:pPr>
        <w:pStyle w:val="ListBullet"/>
      </w:pPr>
      <w:r>
        <w:t>Слепой критерий = null и причина (not-collected / searched-none / gate-failed); покрытие 27–43 из 46.</w:t>
      </w:r>
    </w:p>
    <w:p>
      <w:pPr>
        <w:pStyle w:val="ListBullet"/>
      </w:pPr>
      <w:r>
        <w:t>Ворота независимости: ≥2 кластера или ≥1 primary/OSINT на покрытый критерий.</w:t>
      </w:r>
    </w:p>
    <w:p>
      <w:pPr>
        <w:spacing w:after="120"/>
      </w:pPr>
      <w:r>
        <w:rPr>
          <w:b w:val="0"/>
          <w:i w:val="0"/>
        </w:rPr>
      </w:r>
      <w:r>
        <w:rPr>
          <w:i/>
          <w:color w:val="606060"/>
        </w:rPr>
        <w:t>[текст раздела 3]</w:t>
      </w:r>
    </w:p>
    <w:p>
      <w:pPr>
        <w:pStyle w:val="Heading1"/>
      </w:pPr>
      <w:r>
        <w:t>4. Метод</w:t>
      </w:r>
    </w:p>
    <w:p>
      <w:pPr>
        <w:spacing w:after="120"/>
      </w:pPr>
      <w:r>
        <w:rPr>
          <w:b w:val="0"/>
          <w:i/>
          <w:color w:val="606060"/>
          <w:sz w:val="20"/>
        </w:rPr>
        <w:t>Каркас §4. Формулы — в calc/engine.js, числа — в calc/params.js. Журнал ждёт не листинг, а объяснение решений: почему такая агрегация и чем за неё платим.</w:t>
      </w:r>
    </w:p>
    <w:p>
      <w:pPr>
        <w:pStyle w:val="ListBullet"/>
      </w:pPr>
      <w:r>
        <w:t>Скор драйвера: среднее покрытых критериев с уверенностью; порог покрытия 50 %.</w:t>
      </w:r>
    </w:p>
    <w:p>
      <w:pPr>
        <w:pStyle w:val="ListBullet"/>
      </w:pPr>
      <w:r>
        <w:t>Взвешенная сумма драйверов, насыщающая кривая k = 1.95, инерция β↑/β↓, Structural Break Override.</w:t>
      </w:r>
    </w:p>
    <w:p>
      <w:pPr>
        <w:pStyle w:val="ListBullet"/>
      </w:pPr>
      <w:r>
        <w:t>Ограничитель вклада Д9 (≤30 % недельного прироста) и три зафиксированных отступления.</w:t>
      </w:r>
    </w:p>
    <w:p>
      <w:pPr>
        <w:pStyle w:val="ListBullet"/>
      </w:pPr>
      <w:r>
        <w:t>Региональная и страновая модель §7: структурная экспозиция, зеркалирование шока, clamp.</w:t>
      </w:r>
    </w:p>
    <w:p>
      <w:pPr>
        <w:spacing w:after="120"/>
      </w:pPr>
      <w:r>
        <w:rPr>
          <w:b w:val="0"/>
          <w:i w:val="0"/>
        </w:rPr>
      </w:r>
      <w:r>
        <w:rPr>
          <w:i/>
          <w:color w:val="606060"/>
        </w:rPr>
        <w:t>[текст раздела 4]</w:t>
      </w:r>
    </w:p>
    <w:p>
      <w:pPr>
        <w:pStyle w:val="Heading1"/>
      </w:pPr>
      <w:r>
        <w:t>5. Калибровка</w:t>
      </w:r>
    </w:p>
    <w:p>
      <w:pPr>
        <w:spacing w:after="120"/>
      </w:pPr>
      <w:r>
        <w:rPr>
          <w:b w:val="0"/>
          <w:i/>
          <w:color w:val="606060"/>
          <w:sz w:val="20"/>
        </w:rPr>
        <w:t>Каркас §5. Источник: docs/calibration-journal.md (таблица 10 якорей, чувствительность ±20 %).</w:t>
      </w:r>
    </w:p>
    <w:p>
      <w:pPr>
        <w:spacing w:after="80"/>
      </w:pPr>
      <w:r>
        <w:rPr>
          <w:b w:val="0"/>
          <w:i w:val="0"/>
          <w:sz w:val="22"/>
        </w:rPr>
        <w:t>Таблица якорей при k = 1.95 (значения из журнала калибровки; перенести в статью как есть):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2551"/>
            <w:shd w:val="clear" w:color="auto" w:fill="F2F2F2"/>
          </w:tcPr>
          <w:p>
            <w:r/>
            <w:r>
              <w:rPr>
                <w:b/>
                <w:sz w:val="20"/>
              </w:rPr>
              <w:t>Якорь</w:t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b/>
                <w:sz w:val="20"/>
              </w:rPr>
              <w:t>Роль</w:t>
            </w:r>
          </w:p>
        </w:tc>
        <w:tc>
          <w:tcPr>
            <w:tcW w:type="dxa" w:w="1814"/>
            <w:shd w:val="clear" w:color="auto" w:fill="F2F2F2"/>
          </w:tcPr>
          <w:p>
            <w:r/>
            <w:r>
              <w:rPr>
                <w:b/>
                <w:sz w:val="20"/>
              </w:rPr>
              <w:t>Кластер ожидания</w:t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b/>
                <w:sz w:val="20"/>
              </w:rPr>
              <w:t>Индекс</w:t>
            </w:r>
          </w:p>
        </w:tc>
        <w:tc>
          <w:tcPr>
            <w:tcW w:type="dxa" w:w="1304"/>
            <w:shd w:val="clear" w:color="auto" w:fill="F2F2F2"/>
          </w:tcPr>
          <w:p>
            <w:r/>
            <w:r>
              <w:rPr>
                <w:b/>
                <w:sz w:val="20"/>
              </w:rPr>
              <w:t>Попадание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Рутина 2010-х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select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0–20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1304"/>
          </w:tcPr>
          <w:p>
            <w:r/>
            <w:r>
              <w:rPr>
                <w:sz w:val="20"/>
              </w:rPr>
              <w:t>да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Санкции / прокси 2018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select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21–40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32</w:t>
            </w:r>
          </w:p>
        </w:tc>
        <w:tc>
          <w:tcPr>
            <w:tcW w:type="dxa" w:w="1304"/>
          </w:tcPr>
          <w:p>
            <w:r/>
            <w:r>
              <w:rPr>
                <w:sz w:val="20"/>
              </w:rPr>
              <w:t>да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Крым-2014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select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41–60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50</w:t>
            </w:r>
          </w:p>
        </w:tc>
        <w:tc>
          <w:tcPr>
            <w:tcW w:type="dxa" w:w="1304"/>
          </w:tcPr>
          <w:p>
            <w:r/>
            <w:r>
              <w:rPr>
                <w:sz w:val="20"/>
              </w:rPr>
              <w:t>да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Каргил-1999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select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41–60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52</w:t>
            </w:r>
          </w:p>
        </w:tc>
        <w:tc>
          <w:tcPr>
            <w:tcW w:type="dxa" w:w="1304"/>
          </w:tcPr>
          <w:p>
            <w:r/>
            <w:r>
              <w:rPr>
                <w:sz w:val="20"/>
              </w:rPr>
              <w:t>да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Грузия-2008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select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61–80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69</w:t>
            </w:r>
          </w:p>
        </w:tc>
        <w:tc>
          <w:tcPr>
            <w:tcW w:type="dxa" w:w="1304"/>
          </w:tcPr>
          <w:p>
            <w:r/>
            <w:r>
              <w:rPr>
                <w:sz w:val="20"/>
              </w:rPr>
              <w:t>да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Ирак-2003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select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61–80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72</w:t>
            </w:r>
          </w:p>
        </w:tc>
        <w:tc>
          <w:tcPr>
            <w:tcW w:type="dxa" w:w="1304"/>
          </w:tcPr>
          <w:p>
            <w:r/>
            <w:r>
              <w:rPr>
                <w:sz w:val="20"/>
              </w:rPr>
              <w:t>да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Йом-Кипур-1973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select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61–80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73</w:t>
            </w:r>
          </w:p>
        </w:tc>
        <w:tc>
          <w:tcPr>
            <w:tcW w:type="dxa" w:w="1304"/>
          </w:tcPr>
          <w:p>
            <w:r/>
            <w:r>
              <w:rPr>
                <w:sz w:val="20"/>
              </w:rPr>
              <w:t>да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Февраль-2022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verify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81–96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91</w:t>
            </w:r>
          </w:p>
        </w:tc>
        <w:tc>
          <w:tcPr>
            <w:tcW w:type="dxa" w:w="1304"/>
          </w:tcPr>
          <w:p>
            <w:r/>
            <w:r>
              <w:rPr>
                <w:sz w:val="20"/>
              </w:rPr>
              <w:t>да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Able Archer-83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verify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81–96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82</w:t>
            </w:r>
          </w:p>
        </w:tc>
        <w:tc>
          <w:tcPr>
            <w:tcW w:type="dxa" w:w="1304"/>
          </w:tcPr>
          <w:p>
            <w:r/>
            <w:r>
              <w:rPr>
                <w:sz w:val="20"/>
              </w:rPr>
              <w:t>да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Карибский-1962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verify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97–100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99</w:t>
            </w:r>
          </w:p>
        </w:tc>
        <w:tc>
          <w:tcPr>
            <w:tcW w:type="dxa" w:w="1304"/>
          </w:tcPr>
          <w:p>
            <w:r/>
            <w:r>
              <w:rPr>
                <w:sz w:val="20"/>
              </w:rPr>
              <w:t>да</w:t>
            </w:r>
          </w:p>
        </w:tc>
      </w:tr>
    </w:tbl>
    <w:p>
      <w:pPr>
        <w:spacing w:after="0"/>
      </w:pPr>
      <w:r>
        <w:rPr>
          <w:b w:val="0"/>
          <w:i w:val="0"/>
        </w:rPr>
      </w:r>
    </w:p>
    <w:p>
      <w:pPr>
        <w:pStyle w:val="ListBullet"/>
      </w:pPr>
      <w:r>
        <w:t>Rolling-origin: семь якорей выбирают k, три проверяют; выбор — минимальное отклонение от k = 2,0.</w:t>
      </w:r>
    </w:p>
    <w:p>
      <w:pPr>
        <w:pStyle w:val="ListBullet"/>
      </w:pPr>
      <w:r>
        <w:t>Диапазон k с полными попаданиями select-якорей [1,20; 2,75]; минимальный запас 7,0 п. (Йом-Кипур-1973).</w:t>
      </w:r>
    </w:p>
    <w:p>
      <w:pPr>
        <w:pStyle w:val="ListBullet"/>
      </w:pPr>
      <w:r>
        <w:t>Чувствительность ±20 %: сдвиги по якорям ≤2 п., кроме самого k; уязвимость Able Archer-83 при k −20 % (79 против 81).</w:t>
      </w:r>
    </w:p>
    <w:p>
      <w:pPr>
        <w:pStyle w:val="ListBullet"/>
      </w:pPr>
      <w:r>
        <w:t>Честно: якоря закодированы автором; независимой перекодировки не было.</w:t>
      </w:r>
    </w:p>
    <w:p>
      <w:pPr>
        <w:spacing w:after="120"/>
      </w:pPr>
      <w:r>
        <w:rPr>
          <w:b w:val="0"/>
          <w:i w:val="0"/>
        </w:rPr>
      </w:r>
      <w:r>
        <w:rPr>
          <w:i/>
          <w:color w:val="606060"/>
        </w:rPr>
        <w:t>[текст раздела 5]</w:t>
      </w:r>
    </w:p>
    <w:p>
      <w:pPr>
        <w:pStyle w:val="Heading1"/>
      </w:pPr>
      <w:r>
        <w:t>6. Внешняя валидация и её отрицательный результат</w:t>
      </w:r>
    </w:p>
    <w:p>
      <w:pPr>
        <w:spacing w:after="120"/>
      </w:pPr>
      <w:r>
        <w:rPr>
          <w:b w:val="0"/>
          <w:i/>
          <w:color w:val="606060"/>
          <w:sz w:val="20"/>
        </w:rPr>
        <w:t>Каркас §6. Источник: data/public/validation.json (протокол, числа, оговорки), ADR 0063. Это сильнейшая часть статьи: неудобное число опубликовано самим автором.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2381"/>
            <w:shd w:val="clear" w:color="auto" w:fill="F2F2F2"/>
          </w:tcPr>
          <w:p>
            <w:r/>
            <w:r>
              <w:rPr>
                <w:b/>
                <w:sz w:val="20"/>
              </w:rPr>
              <w:t>Компаратор</w:t>
            </w:r>
          </w:p>
        </w:tc>
        <w:tc>
          <w:tcPr>
            <w:tcW w:type="dxa" w:w="1928"/>
            <w:shd w:val="clear" w:color="auto" w:fill="F2F2F2"/>
          </w:tcPr>
          <w:p>
            <w:r/>
            <w:r>
              <w:rPr>
                <w:b/>
                <w:sz w:val="20"/>
              </w:rPr>
              <w:t>Пары (уровни / дельты)</w:t>
            </w:r>
          </w:p>
        </w:tc>
        <w:tc>
          <w:tcPr>
            <w:tcW w:type="dxa" w:w="1701"/>
            <w:shd w:val="clear" w:color="auto" w:fill="F2F2F2"/>
          </w:tcPr>
          <w:p>
            <w:r/>
            <w:r>
              <w:rPr>
                <w:b/>
                <w:sz w:val="20"/>
              </w:rPr>
              <w:t>Pearson, уровни</w:t>
            </w:r>
          </w:p>
        </w:tc>
        <w:tc>
          <w:tcPr>
            <w:tcW w:type="dxa" w:w="1701"/>
            <w:shd w:val="clear" w:color="auto" w:fill="F2F2F2"/>
          </w:tcPr>
          <w:p>
            <w:r/>
            <w:r>
              <w:rPr>
                <w:b/>
                <w:sz w:val="20"/>
              </w:rPr>
              <w:t>Pearson, дельты</w:t>
            </w:r>
          </w:p>
        </w:tc>
        <w:tc>
          <w:tcPr>
            <w:tcW w:type="dxa" w:w="1361"/>
            <w:shd w:val="clear" w:color="auto" w:fill="F2F2F2"/>
          </w:tcPr>
          <w:p>
            <w:r/>
            <w:r>
              <w:rPr>
                <w:b/>
                <w:sz w:val="20"/>
              </w:rPr>
              <w:t>Направление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GPR (Caldara–Iacoviello)</w:t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  <w:t>7 / 6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−0,148 (p = 0,74)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−0,599 (p = 0,23)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1 из 6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ACLED (месяц)</w:t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  <w:t>3 / 2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insufficient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insufficient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1 из 2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CrisisWatch (месяц)</w:t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  <w:t>2 / 1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insufficient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insufficient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0 из 1</w:t>
            </w:r>
          </w:p>
        </w:tc>
      </w:tr>
    </w:tbl>
    <w:p>
      <w:pPr>
        <w:spacing w:after="0"/>
      </w:pPr>
      <w:r>
        <w:rPr>
          <w:b w:val="0"/>
          <w:i w:val="0"/>
        </w:rPr>
      </w:r>
    </w:p>
    <w:p>
      <w:pPr>
        <w:pStyle w:val="ListBullet"/>
      </w:pPr>
      <w:r>
        <w:t>Что это значит: при n = 6–7 коэффициент не отличает работающий индекс от случайного.</w:t>
      </w:r>
    </w:p>
    <w:p>
      <w:pPr>
        <w:pStyle w:val="ListBullet"/>
      </w:pPr>
      <w:r>
        <w:t>Чего не значит: что индекс неверен — данных для такого вывода нет.</w:t>
      </w:r>
    </w:p>
    <w:p>
      <w:pPr>
        <w:pStyle w:val="ListBullet"/>
      </w:pPr>
      <w:r>
        <w:t>Какой следующий шаг был бы корректным: фиксированный горизонт, предсказание перехода состояний, критерий успеха до накопления точек.</w:t>
      </w:r>
    </w:p>
    <w:p>
      <w:pPr>
        <w:spacing w:after="120"/>
      </w:pPr>
      <w:r>
        <w:rPr>
          <w:b w:val="0"/>
          <w:i w:val="0"/>
        </w:rPr>
      </w:r>
      <w:r>
        <w:rPr>
          <w:i/>
          <w:color w:val="606060"/>
        </w:rPr>
        <w:t>[текст раздела 6]</w:t>
      </w:r>
    </w:p>
    <w:p>
      <w:pPr>
        <w:pStyle w:val="Heading1"/>
      </w:pPr>
      <w:r>
        <w:t>7. Воспроизводимость как результат</w:t>
      </w:r>
    </w:p>
    <w:p>
      <w:pPr>
        <w:spacing w:after="120"/>
      </w:pPr>
      <w:r>
        <w:rPr>
          <w:b w:val="0"/>
          <w:i/>
          <w:color w:val="606060"/>
          <w:sz w:val="20"/>
        </w:rPr>
        <w:t>Каркас §7. Источник: docs/api.md, data/public/schema/v1/*.json, лицензии.</w:t>
      </w:r>
    </w:p>
    <w:p>
      <w:pPr>
        <w:pStyle w:val="ListBullet"/>
      </w:pPr>
      <w:r>
        <w:t>Данные CC BY 4.0, код Apache-2.0, публичный слой с 12 JSON Schema.</w:t>
      </w:r>
    </w:p>
    <w:p>
      <w:pPr>
        <w:pStyle w:val="ListBullet"/>
      </w:pPr>
      <w:r>
        <w:t>Пересчёт недели одной командой; 933 теста, включая пины опубликованных чисел.</w:t>
      </w:r>
    </w:p>
    <w:p>
      <w:pPr>
        <w:pStyle w:val="ListBullet"/>
      </w:pPr>
      <w:r>
        <w:t>Журнал аудита с хеш-цепочкой; версии методологии, таксономии и публичной схемы раздельно.</w:t>
      </w:r>
    </w:p>
    <w:p>
      <w:pPr>
        <w:pStyle w:val="ListBullet"/>
      </w:pPr>
      <w:r>
        <w:t>Почему это не заменяет независимую проверку — честный абзац.</w:t>
      </w:r>
    </w:p>
    <w:p>
      <w:pPr>
        <w:spacing w:after="120"/>
      </w:pPr>
      <w:r>
        <w:rPr>
          <w:b w:val="0"/>
          <w:i w:val="0"/>
        </w:rPr>
      </w:r>
      <w:r>
        <w:rPr>
          <w:i/>
          <w:color w:val="606060"/>
        </w:rPr>
        <w:t>[текст раздела 7]</w:t>
      </w:r>
    </w:p>
    <w:p>
      <w:pPr>
        <w:pStyle w:val="Heading1"/>
      </w:pPr>
      <w:r>
        <w:t>8. Ограничения</w:t>
      </w:r>
    </w:p>
    <w:p>
      <w:pPr>
        <w:spacing w:after="120"/>
      </w:pPr>
      <w:r>
        <w:rPr>
          <w:b w:val="0"/>
          <w:i/>
          <w:color w:val="606060"/>
          <w:sz w:val="20"/>
        </w:rPr>
        <w:t>Каркас §8 — десять пунктов, каждый с ценой ошибки. Этот раздел рецензенты читают первым после метода.</w:t>
      </w:r>
    </w:p>
    <w:p>
      <w:pPr>
        <w:pStyle w:val="ListBullet"/>
      </w:pPr>
      <w:r>
        <w:t>Ряд — девять недель методологии 3.0; демо-недели 1.0 не пересчитываются и в ряд не входят.</w:t>
      </w:r>
    </w:p>
    <w:p>
      <w:pPr>
        <w:pStyle w:val="ListBullet"/>
      </w:pPr>
      <w:r>
        <w:t>Один кодировщик; межкодировочная надёжность — см. §5.4 и Приложение Б.</w:t>
      </w:r>
    </w:p>
    <w:p>
      <w:pPr>
        <w:pStyle w:val="ListBullet"/>
      </w:pPr>
      <w:r>
        <w:t>Отбор источников: смещение к легко освещаемым сюжетам не оценено.</w:t>
      </w:r>
    </w:p>
    <w:p>
      <w:pPr>
        <w:pStyle w:val="ListBullet"/>
      </w:pPr>
      <w:r>
        <w:t>Якоря закодированы автором; перенос Д2 ослабляет независимость недель.</w:t>
      </w:r>
    </w:p>
    <w:p>
      <w:pPr>
        <w:pStyle w:val="ListBullet"/>
      </w:pPr>
      <w:r>
        <w:t>Внешняя валидация нулевая; пороги состояний заданы экспертно.</w:t>
      </w:r>
    </w:p>
    <w:p>
      <w:pPr>
        <w:pStyle w:val="ListBullet"/>
      </w:pPr>
      <w:r>
        <w:t>Один автор, конфликт интересов раскрыт; внешнего рецензирования на момент подачи нет.</w:t>
      </w:r>
    </w:p>
    <w:p>
      <w:pPr>
        <w:spacing w:after="120"/>
      </w:pPr>
      <w:r>
        <w:rPr>
          <w:b w:val="0"/>
          <w:i w:val="0"/>
        </w:rPr>
      </w:r>
      <w:r>
        <w:rPr>
          <w:i/>
          <w:color w:val="606060"/>
        </w:rPr>
        <w:t>[текст раздела 8]</w:t>
      </w:r>
    </w:p>
    <w:p>
      <w:pPr>
        <w:pStyle w:val="Heading1"/>
      </w:pPr>
      <w:r>
        <w:t>9. Заключение</w:t>
      </w:r>
    </w:p>
    <w:p>
      <w:pPr>
        <w:spacing w:after="120"/>
      </w:pPr>
      <w:r>
        <w:rPr>
          <w:b w:val="0"/>
          <w:i/>
          <w:color w:val="606060"/>
          <w:sz w:val="20"/>
        </w:rPr>
        <w:t>Каркас §9: что сделано, что показано отрицательно, что остаётся внешнему читателю.</w:t>
      </w:r>
    </w:p>
    <w:p>
      <w:pPr>
        <w:spacing w:after="120"/>
      </w:pPr>
      <w:r>
        <w:rPr>
          <w:b w:val="0"/>
          <w:i w:val="0"/>
        </w:rPr>
      </w:r>
      <w:r>
        <w:rPr>
          <w:i/>
          <w:color w:val="606060"/>
        </w:rPr>
        <w:t>[текст раздела 9]</w:t>
      </w:r>
    </w:p>
    <w:p>
      <w:pPr>
        <w:pStyle w:val="Heading1"/>
      </w:pPr>
      <w:r>
        <w:t>Приложение А. Сорок шесть критериев</w:t>
      </w:r>
    </w:p>
    <w:p>
      <w:pPr>
        <w:spacing w:after="120"/>
      </w:pPr>
      <w:r>
        <w:rPr>
          <w:b w:val="0"/>
          <w:i/>
          <w:color w:val="606060"/>
          <w:sz w:val="20"/>
        </w:rPr>
        <w:t>Полная таблица — из js/criteria.js (id, драйвер, шкала, направление, название, описание сигнала). 46 строк; ниже — три строки как образец формата.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134"/>
            <w:shd w:val="clear" w:color="auto" w:fill="F2F2F2"/>
          </w:tcPr>
          <w:p>
            <w:r/>
            <w:r>
              <w:rPr>
                <w:b/>
                <w:sz w:val="20"/>
              </w:rPr>
              <w:t>Критерий</w:t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b/>
                <w:sz w:val="20"/>
              </w:rPr>
              <w:t>Драйвер</w:t>
            </w:r>
          </w:p>
        </w:tc>
        <w:tc>
          <w:tcPr>
            <w:tcW w:type="dxa" w:w="1134"/>
            <w:shd w:val="clear" w:color="auto" w:fill="F2F2F2"/>
          </w:tcPr>
          <w:p>
            <w:r/>
            <w:r>
              <w:rPr>
                <w:b/>
                <w:sz w:val="20"/>
              </w:rPr>
              <w:t>Шкала</w:t>
            </w:r>
          </w:p>
        </w:tc>
        <w:tc>
          <w:tcPr>
            <w:tcW w:type="dxa" w:w="1417"/>
            <w:shd w:val="clear" w:color="auto" w:fill="F2F2F2"/>
          </w:tcPr>
          <w:p>
            <w:r/>
            <w:r>
              <w:rPr>
                <w:b/>
                <w:sz w:val="20"/>
              </w:rPr>
              <w:t>Направление</w:t>
            </w:r>
          </w:p>
        </w:tc>
        <w:tc>
          <w:tcPr>
            <w:tcW w:type="dxa" w:w="3969"/>
            <w:shd w:val="clear" w:color="auto" w:fill="F2F2F2"/>
          </w:tcPr>
          <w:p>
            <w:r/>
            <w:r>
              <w:rPr>
                <w:b/>
                <w:sz w:val="20"/>
              </w:rPr>
              <w:t>Название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20"/>
              </w:rPr>
              <w:t>D1.1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Д1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count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esc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Перемещения войск и военных колонн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20"/>
              </w:rPr>
              <w:t>D1.2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Д1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count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esc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Военные учения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20"/>
              </w:rPr>
              <w:t>D4.6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Д4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ordinal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esc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Стресс финансовых рынков</w:t>
            </w:r>
          </w:p>
        </w:tc>
      </w:tr>
    </w:tbl>
    <w:p>
      <w:pPr>
        <w:pStyle w:val="Heading1"/>
      </w:pPr>
      <w:r>
        <w:t>Приложение Б. Параметры метода</w:t>
      </w:r>
    </w:p>
    <w:p>
      <w:pPr>
        <w:spacing w:after="120"/>
      </w:pPr>
      <w:r>
        <w:rPr>
          <w:b w:val="0"/>
          <w:i/>
          <w:color w:val="606060"/>
          <w:sz w:val="20"/>
        </w:rPr>
        <w:t>Источник: calc/params.js и data/public/methodology.json. Все числа — из кода, не из памяти.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551"/>
            <w:shd w:val="clear" w:color="auto" w:fill="F2F2F2"/>
          </w:tcPr>
          <w:p>
            <w:r/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1984"/>
            <w:shd w:val="clear" w:color="auto" w:fill="F2F2F2"/>
          </w:tcPr>
          <w:p>
            <w:r/>
            <w:r>
              <w:rPr>
                <w:b/>
                <w:sz w:val="20"/>
              </w:rPr>
              <w:t>Значение</w:t>
            </w:r>
          </w:p>
        </w:tc>
        <w:tc>
          <w:tcPr>
            <w:tcW w:type="dxa" w:w="4535"/>
            <w:shd w:val="clear" w:color="auto" w:fill="F2F2F2"/>
          </w:tcPr>
          <w:p>
            <w:r/>
            <w:r>
              <w:rPr>
                <w:b/>
                <w:sz w:val="20"/>
              </w:rPr>
              <w:t>Роль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k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1,95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насыщающая кривая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α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0,5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асимметрия деэскалации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λ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0,6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вес деэскалации Д8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ρ / U_abs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0,25 / 0,025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предельная доля и абсолютный потолок Д9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γ / κ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0,5 / 0,85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структурная экспозиция и зеркалирование шока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n₀ / clamp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5 / ±40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сжатие и предел регионального отклонения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β↑ / β↓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0,9 / 0,5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инерция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Structural Break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0,8 / 2 недели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переопределение инерции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Порог покрытия драйвера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0,5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правило null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CAP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нормировка счётных критериев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Веса событий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0,2 / 0,5 / 1 / 2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счётные критерии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Порог чувствительности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5 п.п.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пометка в публикации</w:t>
            </w:r>
          </w:p>
        </w:tc>
      </w:tr>
    </w:tbl>
    <w:p>
      <w:pPr>
        <w:pStyle w:val="Heading1"/>
      </w:pPr>
      <w:r>
        <w:t>Приложение В. Как пересчитать неделю</w:t>
      </w:r>
    </w:p>
    <w:p>
      <w:pPr>
        <w:spacing w:after="120"/>
      </w:pPr>
      <w:r>
        <w:rPr>
          <w:b w:val="0"/>
          <w:i/>
          <w:color w:val="606060"/>
          <w:sz w:val="20"/>
        </w:rPr>
        <w:t>Эти команды должны работать у рецензента с первого раза: Node ≥ 18, зависимостей нет.</w:t>
      </w:r>
    </w:p>
    <w:p>
      <w:pPr>
        <w:spacing w:after="40"/>
      </w:pPr>
      <w:r>
        <w:rPr>
          <w:b w:val="0"/>
          <w:i w:val="0"/>
        </w:rPr>
      </w:r>
      <w:r>
        <w:rPr>
          <w:rFonts w:ascii="Consolas" w:hAnsi="Consolas"/>
          <w:sz w:val="18"/>
        </w:rPr>
        <w:t>node calc/calc.js 2026-10-18            # пересчёт недели, только печать</w:t>
      </w:r>
    </w:p>
    <w:p>
      <w:pPr>
        <w:spacing w:after="40"/>
      </w:pPr>
      <w:r>
        <w:rPr>
          <w:b w:val="0"/>
          <w:i w:val="0"/>
        </w:rPr>
      </w:r>
      <w:r>
        <w:rPr>
          <w:rFonts w:ascii="Consolas" w:hAnsi="Consolas"/>
          <w:sz w:val="18"/>
        </w:rPr>
        <w:t>node calc/calc.js --write &lt;неделя&gt;      # запись снапшота после ворот ссылок и контракта</w:t>
      </w:r>
    </w:p>
    <w:p>
      <w:pPr>
        <w:spacing w:after="40"/>
      </w:pPr>
      <w:r>
        <w:rPr>
          <w:b w:val="0"/>
          <w:i w:val="0"/>
        </w:rPr>
      </w:r>
      <w:r>
        <w:rPr>
          <w:rFonts w:ascii="Consolas" w:hAnsi="Consolas"/>
          <w:sz w:val="18"/>
        </w:rPr>
        <w:t>node calc/calibrate.js                  # сетка k, выбор якорей, чувствительность</w:t>
      </w:r>
    </w:p>
    <w:p>
      <w:pPr>
        <w:spacing w:after="40"/>
      </w:pPr>
      <w:r>
        <w:rPr>
          <w:b w:val="0"/>
          <w:i w:val="0"/>
        </w:rPr>
      </w:r>
      <w:r>
        <w:rPr>
          <w:rFonts w:ascii="Consolas" w:hAnsi="Consolas"/>
          <w:sz w:val="18"/>
        </w:rPr>
        <w:t>node --test                             # 933 теста, включая пины опубликованных чисел</w:t>
      </w:r>
    </w:p>
    <w:p>
      <w:pPr>
        <w:pStyle w:val="Heading1"/>
      </w:pPr>
      <w:r>
        <w:t>Приложение Г. Двойное кодирование: как проверялось согласие</w:t>
      </w:r>
    </w:p>
    <w:p>
      <w:pPr>
        <w:spacing w:after="120"/>
      </w:pPr>
      <w:r>
        <w:rPr>
          <w:b w:val="0"/>
          <w:i/>
          <w:color w:val="606060"/>
          <w:sz w:val="20"/>
        </w:rPr>
        <w:t>Заполняется после того, как второй кодировщик сдаст листы. Команды — из docs/peer-review/coding/README.md.</w:t>
      </w:r>
    </w:p>
    <w:p>
      <w:pPr>
        <w:spacing w:after="80"/>
      </w:pPr>
      <w:r>
        <w:rPr>
          <w:b w:val="0"/>
          <w:i w:val="0"/>
          <w:sz w:val="22"/>
        </w:rPr>
        <w:t>Недели: 2026-09-20 и 2026-10-18. Кодировщик вне проекта. Механика: calc/coding-reliability.js (номинальная κ по покрытию, линейно взвешенная κ по значениям, разбивка по драйверам).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701"/>
            <w:shd w:val="clear" w:color="auto" w:fill="F2F2F2"/>
          </w:tcPr>
          <w:p>
            <w:r/>
            <w:r>
              <w:rPr>
                <w:b/>
                <w:sz w:val="20"/>
              </w:rPr>
              <w:t>Неделя</w:t>
            </w:r>
          </w:p>
        </w:tc>
        <w:tc>
          <w:tcPr>
            <w:tcW w:type="dxa" w:w="1417"/>
            <w:shd w:val="clear" w:color="auto" w:fill="F2F2F2"/>
          </w:tcPr>
          <w:p>
            <w:r/>
            <w:r>
              <w:rPr>
                <w:b/>
                <w:sz w:val="20"/>
              </w:rPr>
              <w:t>Суждений</w:t>
            </w:r>
          </w:p>
        </w:tc>
        <w:tc>
          <w:tcPr>
            <w:tcW w:type="dxa" w:w="1701"/>
            <w:shd w:val="clear" w:color="auto" w:fill="F2F2F2"/>
          </w:tcPr>
          <w:p>
            <w:r/>
            <w:r>
              <w:rPr>
                <w:b/>
                <w:sz w:val="20"/>
              </w:rPr>
              <w:t>κ по покрытию</w:t>
            </w:r>
          </w:p>
        </w:tc>
        <w:tc>
          <w:tcPr>
            <w:tcW w:type="dxa" w:w="1701"/>
            <w:shd w:val="clear" w:color="auto" w:fill="F2F2F2"/>
          </w:tcPr>
          <w:p>
            <w:r/>
            <w:r>
              <w:rPr>
                <w:b/>
                <w:sz w:val="20"/>
              </w:rPr>
              <w:t>κ по значениям</w:t>
            </w:r>
          </w:p>
        </w:tc>
        <w:tc>
          <w:tcPr>
            <w:tcW w:type="dxa" w:w="2268"/>
            <w:shd w:val="clear" w:color="auto" w:fill="F2F2F2"/>
          </w:tcPr>
          <w:p>
            <w:r/>
            <w:r>
              <w:rPr>
                <w:b/>
                <w:sz w:val="20"/>
              </w:rPr>
              <w:t>Разобрано расхождений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2026-09-20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2026-10-18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</w:r>
          </w:p>
        </w:tc>
      </w:tr>
    </w:tbl>
    <w:p>
      <w:pPr>
        <w:pStyle w:val="Heading1"/>
      </w:pPr>
      <w:r>
        <w:t>Список литературы (русский)</w:t>
      </w:r>
    </w:p>
    <w:p>
      <w:pPr>
        <w:spacing w:after="120"/>
      </w:pPr>
      <w:r>
        <w:rPr>
          <w:b w:val="0"/>
          <w:i/>
          <w:color w:val="606060"/>
          <w:sz w:val="20"/>
        </w:rPr>
        <w:t>Алфавитный порядок. 5–8 русскоязычных работ: индекс риска, композитный индикатор, измерение конфликта, раннее предупреждение, индекс хрупкости. Искать в eLIBRARY и архиве «Полиса»; нужны DOI или EDN. Этот блок закрывает автор — готового списка нет.</w:t>
      </w:r>
    </w:p>
    <w:p>
      <w:pPr>
        <w:spacing w:after="120"/>
      </w:pPr>
      <w:r>
        <w:rPr>
          <w:b w:val="0"/>
          <w:i w:val="0"/>
        </w:rPr>
      </w:r>
      <w:r>
        <w:rPr>
          <w:i/>
          <w:color w:val="606060"/>
        </w:rPr>
        <w:t>[1. Автор. Год. Название. Журнал. № X. С. 00–00. DOI. EDN]</w:t>
      </w:r>
    </w:p>
    <w:p>
      <w:pPr>
        <w:spacing w:after="120"/>
      </w:pPr>
      <w:r>
        <w:rPr>
          <w:b w:val="0"/>
          <w:i w:val="0"/>
        </w:rPr>
      </w:r>
      <w:r>
        <w:rPr>
          <w:i/>
          <w:color w:val="606060"/>
        </w:rPr>
        <w:t>[2. …]</w:t>
      </w:r>
    </w:p>
    <w:p>
      <w:pPr>
        <w:pStyle w:val="Heading1"/>
      </w:pPr>
      <w:r>
        <w:t>References</w:t>
      </w:r>
    </w:p>
    <w:p>
      <w:pPr>
        <w:spacing w:after="120"/>
      </w:pPr>
      <w:r>
        <w:rPr>
          <w:b w:val="0"/>
          <w:i/>
          <w:color w:val="606060"/>
          <w:sz w:val="20"/>
        </w:rPr>
        <w:t>Проверено через Crossref 2026-10-25: каждый DOI открывается и ведёт на указанную работу. Перед подачей: привести к образцам журнала (курсив названий, активные ссылки DOI, EDN из eLIBRARY).</w:t>
      </w:r>
    </w:p>
    <w:p>
      <w:pPr>
        <w:spacing w:after="60"/>
      </w:pPr>
      <w:r>
        <w:rPr>
          <w:b w:val="0"/>
          <w:i w:val="0"/>
          <w:sz w:val="20"/>
        </w:rPr>
        <w:t>Becker, W., Saisana, M., Paruolo, P., &amp; Vandecasteele, I. (2017). Weights and importance in composite indicators: Closing the gap. Ecological Indicators, 80, 12–22. https://doi.org/10.1016/j.ecolind.2017.03.056</w:t>
      </w:r>
    </w:p>
    <w:p>
      <w:pPr>
        <w:spacing w:after="60"/>
      </w:pPr>
      <w:r>
        <w:rPr>
          <w:b w:val="0"/>
          <w:i w:val="0"/>
          <w:sz w:val="20"/>
        </w:rPr>
        <w:t>Bowlsby, D., Chenoweth, E., Hendrix, C., &amp; Moyer, J. D. (2020). The future is a moving target: Predicting political instability. British Journal of Political Science, 50(4), 1405–1417. https://doi.org/10.1017/s0007123418000443</w:t>
      </w:r>
    </w:p>
    <w:p>
      <w:pPr>
        <w:spacing w:after="60"/>
      </w:pPr>
      <w:r>
        <w:rPr>
          <w:b w:val="0"/>
          <w:i w:val="0"/>
          <w:sz w:val="20"/>
        </w:rPr>
        <w:t>Caldara, D., &amp; Iacoviello, M. (2022). Measuring geopolitical risk. American Economic Review, 112(4), 1194–1225. https://doi.org/10.1257/aer.20191823</w:t>
      </w:r>
    </w:p>
    <w:p>
      <w:pPr>
        <w:spacing w:after="60"/>
      </w:pPr>
      <w:r>
        <w:rPr>
          <w:b w:val="0"/>
          <w:i w:val="0"/>
          <w:sz w:val="20"/>
        </w:rPr>
        <w:t>Christensen, G., Freese, J., &amp; Miguel, E. (2019). Transparent and reproducible social science research. Oakland: University of California Press.</w:t>
      </w:r>
    </w:p>
    <w:p>
      <w:pPr>
        <w:spacing w:after="60"/>
      </w:pPr>
      <w:r>
        <w:rPr>
          <w:b w:val="0"/>
          <w:i w:val="0"/>
          <w:sz w:val="20"/>
        </w:rPr>
        <w:t>Cohen, J. (1960). A coefficient of agreement for nominal scales. Educational and Psychological Measurement, 20(1), 37–46. https://doi.org/10.1177/001316446002000104</w:t>
      </w:r>
    </w:p>
    <w:p>
      <w:pPr>
        <w:spacing w:after="60"/>
      </w:pPr>
      <w:r>
        <w:rPr>
          <w:b w:val="0"/>
          <w:i w:val="0"/>
          <w:sz w:val="20"/>
        </w:rPr>
        <w:t>Davies, S., Pettersson, T., &amp; Öberg, M. (2022). Organized violence 1989–2021 and drone warfare. Journal of Peace Research, 59(4), 593–610. https://doi.org/10.1177/00223433221108428</w:t>
      </w:r>
    </w:p>
    <w:p>
      <w:pPr>
        <w:spacing w:after="60"/>
      </w:pPr>
      <w:r>
        <w:rPr>
          <w:b w:val="0"/>
          <w:i w:val="0"/>
          <w:sz w:val="20"/>
        </w:rPr>
        <w:t>Eck, K. (2012). In data we trust? A comparison of UCDP GED and ACLED conflict events datasets. Cooperation and Conflict, 47(1), 124–141. https://doi.org/10.1177/0010836711434463</w:t>
      </w:r>
    </w:p>
    <w:p>
      <w:pPr>
        <w:spacing w:after="60"/>
      </w:pPr>
      <w:r>
        <w:rPr>
          <w:b w:val="0"/>
          <w:i w:val="0"/>
          <w:sz w:val="20"/>
        </w:rPr>
        <w:t>Freudenberg, M. (2003). Composite indicators of country performance: A critical assessment. OECD Science, Technology and Industry Working Papers, 2003/16. https://doi.org/10.1787/405566708255</w:t>
      </w:r>
    </w:p>
    <w:p>
      <w:pPr>
        <w:spacing w:after="60"/>
      </w:pPr>
      <w:r>
        <w:rPr>
          <w:b w:val="0"/>
          <w:i w:val="0"/>
          <w:sz w:val="20"/>
        </w:rPr>
        <w:t>Gneiting, T., &amp; Raftery, A. E. (2007). Strictly proper scoring rules, prediction, and estimation. Journal of the American Statistical Association, 102(477), 359–378. https://doi.org/10.1198/016214506000001437</w:t>
      </w:r>
    </w:p>
    <w:p>
      <w:pPr>
        <w:spacing w:after="60"/>
      </w:pPr>
      <w:r>
        <w:rPr>
          <w:b w:val="0"/>
          <w:i w:val="0"/>
          <w:sz w:val="20"/>
        </w:rPr>
        <w:t>Gohdes, A., &amp; Price, M. (2013). First things first: Assessing data quality before model quality. Journal of Conflict Resolution, 57(6), 1090–1108. https://doi.org/10.1177/0022002712459708</w:t>
      </w:r>
    </w:p>
    <w:p>
      <w:pPr>
        <w:spacing w:after="60"/>
      </w:pPr>
      <w:r>
        <w:rPr>
          <w:b w:val="0"/>
          <w:i w:val="0"/>
          <w:sz w:val="20"/>
        </w:rPr>
        <w:t>Goldstone, J. A., Bates, R. H., Epstein, D. L., Gurr, T. R., Lustik, M. B., Marshall, M. G., Ulfelder, J., &amp; Woodward, M. (2010). A global model for forecasting political instability. American Journal of Political Science, 54(1), 190–208. https://doi.org/10.1111/j.1540-5907.2009.00426.x</w:t>
      </w:r>
    </w:p>
    <w:p>
      <w:pPr>
        <w:spacing w:after="60"/>
      </w:pPr>
      <w:r>
        <w:rPr>
          <w:b w:val="0"/>
          <w:i w:val="0"/>
          <w:sz w:val="20"/>
        </w:rPr>
        <w:t>Greco, S., Ishizaka, A., Tasiou, M., &amp; Torrisi, G. (2019). On the methodological framework of composite indices: A review of the issues of weighting, aggregation, and robustness. Social Indicators Research, 141(1), 61–94. https://doi.org/10.1007/s11205-017-1832-9</w:t>
      </w:r>
    </w:p>
    <w:p>
      <w:pPr>
        <w:spacing w:after="60"/>
      </w:pPr>
      <w:r>
        <w:rPr>
          <w:b w:val="0"/>
          <w:i w:val="0"/>
          <w:sz w:val="20"/>
        </w:rPr>
        <w:t>Hayes, A. F., &amp; Krippendorff, K. (2007). Answering the call for a standard reliability measure for coding data. Communication Methods and Measures, 1(1), 77–89. https://doi.org/10.1080/19312450709336664</w:t>
      </w:r>
    </w:p>
    <w:p>
      <w:pPr>
        <w:spacing w:after="60"/>
      </w:pPr>
      <w:r>
        <w:rPr>
          <w:b w:val="0"/>
          <w:i w:val="0"/>
          <w:sz w:val="20"/>
        </w:rPr>
        <w:t>Hegre, H., Karlsen, J., Nygård, H. M., Strand, H., &amp; Urdal, H. (2013). Predicting armed conflict, 2010–2050. International Studies Quarterly, 57(2), 250–270. https://doi.org/10.1111/isqu.12007</w:t>
      </w:r>
    </w:p>
    <w:p>
      <w:pPr>
        <w:spacing w:after="60"/>
      </w:pPr>
      <w:r>
        <w:rPr>
          <w:b w:val="0"/>
          <w:i w:val="0"/>
          <w:sz w:val="20"/>
        </w:rPr>
        <w:t>Hegre, H., Metternich, N. W., Nygård, H. M., &amp; Wucherpfennig, J. (2017). Introduction: Forecasting in peace research. Journal of Peace Research, 54(2), 113–124. https://doi.org/10.1177/0022343317691330</w:t>
      </w:r>
    </w:p>
    <w:p>
      <w:pPr>
        <w:spacing w:after="60"/>
      </w:pPr>
      <w:r>
        <w:rPr>
          <w:b w:val="0"/>
          <w:i w:val="0"/>
          <w:sz w:val="20"/>
        </w:rPr>
        <w:t>Landis, J. R., &amp; Koch, G. G. (1977). The measurement of observer agreement for categorical data. Biometrics, 33(1), 159–174. https://doi.org/10.2307/2529310</w:t>
      </w:r>
    </w:p>
    <w:p>
      <w:pPr>
        <w:spacing w:after="60"/>
      </w:pPr>
      <w:r>
        <w:rPr>
          <w:b w:val="0"/>
          <w:i w:val="0"/>
          <w:sz w:val="20"/>
        </w:rPr>
        <w:t>Munafò, M. R., Nosek, B. A., Bishop, D. V. M., et al. (2017). A manifesto for reproducible science. Nature Human Behaviour, 1, 0021. https://doi.org/10.1038/s41562-016-0021</w:t>
      </w:r>
    </w:p>
    <w:p>
      <w:pPr>
        <w:spacing w:after="60"/>
      </w:pPr>
      <w:r>
        <w:rPr>
          <w:b w:val="0"/>
          <w:i w:val="0"/>
          <w:sz w:val="20"/>
        </w:rPr>
        <w:t>Nosek, B. A., Alter, G., Banks, G. C., et al. (2015). Promoting an open research culture. Science, 348(6242), 1422–1425. https://doi.org/10.1126/science.aab2374</w:t>
      </w:r>
    </w:p>
    <w:p>
      <w:pPr>
        <w:spacing w:after="60"/>
      </w:pPr>
      <w:r>
        <w:rPr>
          <w:b w:val="0"/>
          <w:i w:val="0"/>
          <w:sz w:val="20"/>
        </w:rPr>
        <w:t>OECD, &amp; Joint Research Centre. (2008). Handbook on constructing composite indicators: Methodology and user guide. Paris: OECD Publishing. https://doi.org/10.1787/9789264043466-en</w:t>
      </w:r>
    </w:p>
    <w:p>
      <w:pPr>
        <w:spacing w:after="60"/>
      </w:pPr>
      <w:r>
        <w:rPr>
          <w:b w:val="0"/>
          <w:i w:val="0"/>
          <w:sz w:val="20"/>
        </w:rPr>
        <w:t>Paruolo, P., Saisana, M., &amp; Saltelli, A. (2013). Ratings and rankings: Voodoo or science? Journal of the Royal Statistical Society: Series A, 176(3), 609–634. https://doi.org/10.1111/j.1467-985X.2012.01059.x</w:t>
      </w:r>
    </w:p>
    <w:p>
      <w:pPr>
        <w:spacing w:after="60"/>
      </w:pPr>
      <w:r>
        <w:rPr>
          <w:b w:val="0"/>
          <w:i w:val="0"/>
          <w:sz w:val="20"/>
        </w:rPr>
        <w:t>Raleigh, C., Linke, A., Hegre, H., &amp; Karlsen, J. (2010). Introducing ACLED: An armed conflict location and event dataset. Journal of Peace Research, 47(5), 651–660. https://doi.org/10.1177/0022343310378914</w:t>
      </w:r>
    </w:p>
    <w:p>
      <w:pPr>
        <w:spacing w:after="60"/>
      </w:pPr>
      <w:r>
        <w:rPr>
          <w:b w:val="0"/>
          <w:i w:val="0"/>
          <w:sz w:val="20"/>
        </w:rPr>
        <w:t>Saisana, M., Saltelli, A., &amp; Tarantola, S. (2005). Uncertainty and sensitivity analysis techniques as tools for the quality assessment of composite indicators. Journal of the Royal Statistical Society: Series A, 168(2), 307–323. https://doi.org/10.1111/j.1467-985X.2005.00350.x</w:t>
      </w:r>
    </w:p>
    <w:p>
      <w:pPr>
        <w:spacing w:after="60"/>
      </w:pPr>
      <w:r>
        <w:rPr>
          <w:b w:val="0"/>
          <w:i w:val="0"/>
          <w:sz w:val="20"/>
        </w:rPr>
        <w:t>Saltelli, A., Bammer, G., Bruno, I., et al. (2020). Five ways to ensure that models serve society: A manifesto. Nature, 582, 482–484. https://doi.org/10.1038/d41586-020-01812-9</w:t>
      </w:r>
    </w:p>
    <w:p>
      <w:pPr>
        <w:spacing w:after="60"/>
      </w:pPr>
      <w:r>
        <w:rPr>
          <w:b w:val="0"/>
          <w:i w:val="0"/>
          <w:sz w:val="20"/>
        </w:rPr>
        <w:t>Stevens, S. S. (1946). On the theory of scales of measurement. Science, 103(2684), 677–680. https://doi.org/10.1126/science.103.2684.677</w:t>
      </w:r>
    </w:p>
    <w:p>
      <w:pPr>
        <w:spacing w:after="60"/>
      </w:pPr>
      <w:r>
        <w:rPr>
          <w:b w:val="0"/>
          <w:i w:val="0"/>
          <w:sz w:val="20"/>
        </w:rPr>
        <w:t>Sundberg, R., &amp; Melander, E. (2013). Introducing the UCDP georeferenced event dataset. Journal of Peace Research, 50(4), 523–532. https://doi.org/10.1177/0022343313484347</w:t>
      </w:r>
    </w:p>
    <w:p>
      <w:pPr>
        <w:spacing w:after="60"/>
      </w:pPr>
      <w:r>
        <w:rPr>
          <w:b w:val="0"/>
          <w:i w:val="0"/>
          <w:sz w:val="20"/>
        </w:rPr>
        <w:t>Tetlock, P. E. (2005). Expert political judgment: How good is it? How can we know? Princeton: Princeton University Press.</w:t>
      </w:r>
    </w:p>
    <w:p>
      <w:pPr>
        <w:spacing w:after="60"/>
      </w:pPr>
      <w:r>
        <w:rPr>
          <w:b w:val="0"/>
          <w:i w:val="0"/>
          <w:sz w:val="20"/>
        </w:rPr>
        <w:t>Ward, M. D., Greenhill, B. D., &amp; Bakke, K. M. (2010). The perils of policy by p-value: Predicting civil conflicts. Journal of Peace Research, 47(4), 363–375. https://doi.org/10.1177/0022343309356491</w:t>
      </w:r>
    </w:p>
    <w:p>
      <w:pPr>
        <w:spacing w:after="60"/>
      </w:pPr>
      <w:r>
        <w:rPr>
          <w:b w:val="0"/>
          <w:i w:val="0"/>
          <w:sz w:val="20"/>
        </w:rPr>
        <w:t>Weidmann, N. B. (2016). A closer look at reporting bias in conflict event data. American Journal of Political Science, 60(1), 206–218. https://doi.org/10.1111/ajps.12196</w:t>
      </w:r>
    </w:p>
    <w:p>
      <w:pPr>
        <w:spacing w:after="60"/>
      </w:pPr>
      <w:r>
        <w:rPr>
          <w:b w:val="0"/>
          <w:i w:val="0"/>
          <w:sz w:val="20"/>
        </w:rPr>
        <w:t>Wilkinson, M. D., Dumontier, M., Aalbersberg, I. J., et al. (2016). The FAIR guiding principles for scientific data management and stewardship. Scientific Data, 3, 160018. https://doi.org/10.1038/sdata.2016.18</w:t>
      </w:r>
    </w:p>
    <w:p>
      <w:pPr>
        <w:pStyle w:val="Heading1"/>
      </w:pPr>
      <w:r>
        <w:t>Постраничные сноски (веб-источники, не в списке литературы)</w:t>
      </w:r>
    </w:p>
    <w:p>
      <w:pPr>
        <w:spacing w:after="120"/>
      </w:pPr>
      <w:r>
        <w:rPr>
          <w:b w:val="0"/>
          <w:i/>
          <w:color w:val="606060"/>
          <w:sz w:val="20"/>
        </w:rPr>
        <w:t>Правило журнала: интернет-ресурсы, не являющиеся научно-аналитическими материалами, — в сноски.</w:t>
      </w:r>
    </w:p>
    <w:p>
      <w:pPr>
        <w:pStyle w:val="ListBullet"/>
      </w:pPr>
      <w:r>
        <w:t>Fragile States Index: методология CAST и перечень исследований (fragilestatesindex.org), дата обращения.</w:t>
      </w:r>
    </w:p>
    <w:p>
      <w:pPr>
        <w:pStyle w:val="ListBullet"/>
      </w:pPr>
      <w:r>
        <w:t>INFORM Risk: методологический документ JRC (drmkc.jrc.ec.europa.eu), дата обращения.</w:t>
      </w:r>
    </w:p>
    <w:p>
      <w:pPr>
        <w:pStyle w:val="ListBullet"/>
      </w:pPr>
      <w:r>
        <w:t>Global Peace Index: отчёт IEP 2026, раздел об устойчивости к весам (economicsandpeace.org), дата обращения.</w:t>
      </w:r>
    </w:p>
    <w:p>
      <w:pPr>
        <w:pStyle w:val="ListBullet"/>
      </w:pPr>
      <w:r>
        <w:t>Early Warning Project: страница неопределённости модели (ushmm.org), дата обращения.</w:t>
      </w:r>
    </w:p>
    <w:p>
      <w:pPr>
        <w:pStyle w:val="ListBullet"/>
      </w:pPr>
      <w:r>
        <w:t>Cassandra Index: публичные данные и репозиторий (cassindex.ru), дата обращения.</w:t>
      </w:r>
    </w:p>
    <w:p>
      <w:pPr>
        <w:pStyle w:val="Heading1"/>
      </w:pPr>
      <w:r>
        <w:t>Контрольный список перед отправкой</w:t>
      </w:r>
    </w:p>
    <w:p>
      <w:pPr>
        <w:pStyle w:val="ListBullet"/>
      </w:pPr>
      <w:r>
        <w:t>Аннотация 240–280 слов (посчитать в Word: Сервис → Статистика).</w:t>
      </w:r>
    </w:p>
    <w:p>
      <w:pPr>
        <w:pStyle w:val="ListBullet"/>
      </w:pPr>
      <w:r>
        <w:t>Ключевых слов не меньше семи, на русском и английском.</w:t>
      </w:r>
    </w:p>
    <w:p>
      <w:pPr>
        <w:pStyle w:val="ListBullet"/>
      </w:pPr>
      <w:r>
        <w:t>Два списка литературы: русский алфавитный и References; у всех источников DOI активной ссылкой, где есть — EDN.</w:t>
      </w:r>
    </w:p>
    <w:p>
      <w:pPr>
        <w:pStyle w:val="ListBullet"/>
      </w:pPr>
      <w:r>
        <w:t>Каждый источник из списка цитируется в тексте (внутритекстовая ссылка [Автор год: с.]).</w:t>
      </w:r>
    </w:p>
    <w:p>
      <w:pPr>
        <w:pStyle w:val="ListBullet"/>
      </w:pPr>
      <w:r>
        <w:t>Графика только чёрно-белая; исходные данные графика — в .xlsx (Приложение со данными).</w:t>
      </w:r>
    </w:p>
    <w:p>
      <w:pPr>
        <w:pStyle w:val="ListBullet"/>
      </w:pPr>
      <w:r>
        <w:t>Сообщение для редактора об ИИ — в начале файла.</w:t>
      </w:r>
    </w:p>
    <w:p>
      <w:pPr>
        <w:pStyle w:val="ListBullet"/>
      </w:pPr>
      <w:r>
        <w:t>Файл в формате docx (журнал принимает doc, docx, rtf).</w:t>
      </w:r>
    </w:p>
    <w:p>
      <w:pPr>
        <w:pStyle w:val="ListBullet"/>
      </w:pPr>
      <w:r>
        <w:t>Формула цитирования и версия проекта согласованы с CITATION.cff (VERSION = 1.1.0).</w:t>
      </w:r>
    </w:p>
    <w:sectPr w:rsidR="00FC693F" w:rsidRPr="0006063C" w:rsidSect="00034616"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40"/>
      <w:contextualSpacing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