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63EE4" w14:textId="446E9D95" w:rsidR="00901361" w:rsidRDefault="00FD56B4" w:rsidP="00FD56B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D56B4">
        <w:rPr>
          <w:rFonts w:ascii="Arial" w:hAnsi="Arial" w:cs="Arial"/>
          <w:b/>
          <w:bCs/>
          <w:sz w:val="24"/>
          <w:szCs w:val="24"/>
        </w:rPr>
        <w:t xml:space="preserve">Modulo II – Estructuras Condicionales </w:t>
      </w:r>
      <w:r>
        <w:rPr>
          <w:rFonts w:ascii="Arial" w:hAnsi="Arial" w:cs="Arial"/>
          <w:b/>
          <w:bCs/>
          <w:sz w:val="24"/>
          <w:szCs w:val="24"/>
        </w:rPr>
        <w:t>– SUSSINI PATRICIO</w:t>
      </w:r>
    </w:p>
    <w:p w14:paraId="363047DD" w14:textId="40F23CCE" w:rsidR="00FD56B4" w:rsidRDefault="00142F6D" w:rsidP="00FD56B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42F6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8137C6F" wp14:editId="4B821575">
            <wp:extent cx="5943600" cy="3677285"/>
            <wp:effectExtent l="0" t="0" r="0" b="0"/>
            <wp:docPr id="66885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52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D49" w14:textId="69D5E65B" w:rsidR="00296D3E" w:rsidRDefault="00296D3E" w:rsidP="00FD56B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96D3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DF33335" wp14:editId="789A8FAC">
            <wp:extent cx="5943600" cy="3889375"/>
            <wp:effectExtent l="0" t="0" r="0" b="0"/>
            <wp:docPr id="46956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65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C61F" w14:textId="6A359279" w:rsidR="00296D3E" w:rsidRDefault="00296D3E" w:rsidP="00296D3E">
      <w:pPr>
        <w:rPr>
          <w:rFonts w:ascii="Arial" w:hAnsi="Arial" w:cs="Arial"/>
          <w:b/>
          <w:bCs/>
          <w:sz w:val="24"/>
          <w:szCs w:val="24"/>
        </w:rPr>
      </w:pPr>
      <w:r w:rsidRPr="00296D3E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44119A7" wp14:editId="38E038DA">
            <wp:extent cx="5943600" cy="3371850"/>
            <wp:effectExtent l="0" t="0" r="0" b="0"/>
            <wp:docPr id="8615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4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2A5F" w14:textId="41D638FC" w:rsidR="00296D3E" w:rsidRDefault="00296D3E" w:rsidP="00296D3E">
      <w:pPr>
        <w:rPr>
          <w:rFonts w:ascii="Arial" w:hAnsi="Arial" w:cs="Arial"/>
          <w:b/>
          <w:bCs/>
          <w:sz w:val="24"/>
          <w:szCs w:val="24"/>
        </w:rPr>
      </w:pPr>
      <w:r w:rsidRPr="00296D3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254E221" wp14:editId="51CB531B">
            <wp:extent cx="5404326" cy="4482242"/>
            <wp:effectExtent l="0" t="0" r="6350" b="0"/>
            <wp:docPr id="54862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24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2871" cy="448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5CC7" w14:textId="77777777" w:rsidR="00296D3E" w:rsidRPr="00FD56B4" w:rsidRDefault="00296D3E" w:rsidP="00296D3E">
      <w:pPr>
        <w:rPr>
          <w:rFonts w:ascii="Arial" w:hAnsi="Arial" w:cs="Arial"/>
          <w:b/>
          <w:bCs/>
          <w:sz w:val="24"/>
          <w:szCs w:val="24"/>
        </w:rPr>
      </w:pPr>
    </w:p>
    <w:sectPr w:rsidR="00296D3E" w:rsidRPr="00FD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5C"/>
    <w:rsid w:val="00070AD8"/>
    <w:rsid w:val="0007725C"/>
    <w:rsid w:val="000F3855"/>
    <w:rsid w:val="00142F6D"/>
    <w:rsid w:val="00296D3E"/>
    <w:rsid w:val="00542DBA"/>
    <w:rsid w:val="00550DC7"/>
    <w:rsid w:val="00763A05"/>
    <w:rsid w:val="008874CA"/>
    <w:rsid w:val="00901361"/>
    <w:rsid w:val="00B5019D"/>
    <w:rsid w:val="00E27940"/>
    <w:rsid w:val="00FD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17F3"/>
  <w15:chartTrackingRefBased/>
  <w15:docId w15:val="{B316A92F-8325-4269-8A9F-DD00727D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25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2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25C"/>
    <w:rPr>
      <w:rFonts w:eastAsiaTheme="majorEastAsia" w:cstheme="majorBidi"/>
      <w:color w:val="2F5496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25C"/>
    <w:rPr>
      <w:rFonts w:eastAsiaTheme="majorEastAsia" w:cstheme="majorBidi"/>
      <w:i/>
      <w:iCs/>
      <w:color w:val="2F5496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25C"/>
    <w:rPr>
      <w:rFonts w:eastAsiaTheme="majorEastAsia" w:cstheme="majorBidi"/>
      <w:color w:val="2F5496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25C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25C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25C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25C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077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25C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25C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077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25C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077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2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25C"/>
    <w:rPr>
      <w:i/>
      <w:iCs/>
      <w:color w:val="2F5496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0772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Sussini</dc:creator>
  <cp:keywords/>
  <dc:description/>
  <cp:lastModifiedBy>Patricio Sussini</cp:lastModifiedBy>
  <cp:revision>4</cp:revision>
  <dcterms:created xsi:type="dcterms:W3CDTF">2025-02-19T20:22:00Z</dcterms:created>
  <dcterms:modified xsi:type="dcterms:W3CDTF">2025-02-19T21:23:00Z</dcterms:modified>
</cp:coreProperties>
</file>