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Material suplementar – diagnósticos dos modelos e informações adicionais sobre os avaliadores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Artigo 1574318 – Inteligência artificial generativa na governança de dados em saúde: estudo comparativo com recuperação documental</w:t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XXI Congresso Brasileiro de Informática em Saúde – CBIS’26</w:t>
      </w:r>
    </w:p>
    <w:p w:rsidR="00000000" w:rsidDel="00000000" w:rsidP="00000000" w:rsidRDefault="00000000" w:rsidRPr="00000000" w14:paraId="00000005">
      <w:pPr>
        <w:jc w:val="center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23 a 25 de setembro de 2026 - Brasília/DF - Brasil</w:t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Este material apresenta informações adicionais sobre a estrutura dos modelos, o número de observações e grupos, a estabilidade numérica dos ajustes, a esparsidade das categorias e o papel dos avaliadores humanos. As informações foram obtidas a partir da base final de avaliações e do notebook utilizado nas análises.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S1. Modelos ordinais de ligação cumulativa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Foram ajustados cinco cumulative link mixed models (CLMMs), um para cada dimensão ordinal: Acurácia, Completude, Aderência, Utilidade e Clareza. Em todos os modelos, a nota Likert de 1 a 5 foi utilizada como variável resposta. Os efeitos fixos incluíram a condição experimental, o avaliador e a interação entre condição e avaliador, com intercepto aleatório por pergunta. Foi utilizada ligação logit, aproximação adaptativa de Gauss-Hermite com cinco pontos (nAGQ=5) e cálculo da Hessiana.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Cada CLMM incluiu 180 observações completas, correspondentes a 30 perguntas avaliadas em duas condições por três avaliadores, e 30 grupos definidos pelo identificador da pergunta. Não houve exclusão por dados ausentes.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Tabela S1. Estrutura dos dados e esparsidade das categorias nos CLMMs.</w:t>
      </w:r>
    </w:p>
    <w:tbl>
      <w:tblPr>
        <w:tblStyle w:val="Table1"/>
        <w:tblW w:w="97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9"/>
        <w:gridCol w:w="1949"/>
        <w:gridCol w:w="1949"/>
        <w:gridCol w:w="1949"/>
        <w:gridCol w:w="1949"/>
        <w:tblGridChange w:id="0">
          <w:tblGrid>
            <w:gridCol w:w="1949"/>
            <w:gridCol w:w="1949"/>
            <w:gridCol w:w="1949"/>
            <w:gridCol w:w="1949"/>
            <w:gridCol w:w="1949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Perguntas/grupos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Células com n=0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sdt>
              <w:sdtPr>
                <w:id w:val="-1226638128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Células com n≤2*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Acurácia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Utilidade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283" w:right="28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908338923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*Contagem realizada entre 30 células por dimensão, resultantes da combinação de três avaliadores, duas condições e cinco categorias da escala. A coluna n≤2 inclui as células vazias.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283" w:right="283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283" w:firstLine="0"/>
        <w:jc w:val="left"/>
        <w:rPr/>
      </w:pPr>
      <w:r w:rsidDel="00000000" w:rsidR="00000000" w:rsidRPr="00000000">
        <w:rPr>
          <w:rtl w:val="0"/>
        </w:rPr>
        <w:t xml:space="preserve">Os cinco CLMMs retornaram coeficientes, erros-padrão e matrizes de variância-covariância com valores finitos, sem avisos explícitos de não convergência durante os ajustes. Entretanto, a rotina original não armazenou diagnósticos adicionais do otimizador, como o gradiente máximo ou o número de condição da Hessiana. Portanto, a ausência de avisos sustenta a adequação operacional dos ajustes, mas não permite uma avaliação mais detalhada de sua estabilidade numérica.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28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S2. Modelo de preferência global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preferência global foi analisada em 90 observações completas, correspondentes a 30 perguntas avaliadas por três avaliadores. O desfecho possuía três categorias: com RAG, sem RAG e empate. O modelo principal foi uma regressão logística multinomial com o avaliador como preditor, adotando sem RAG como categoria de referência do desfecho e o Avaliador 1 como referência entre os avaliadores.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Tabela S2. Especificações dos modelos de preferência global.</w:t>
      </w:r>
    </w:p>
    <w:tbl>
      <w:tblPr>
        <w:tblStyle w:val="Table2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4"/>
        <w:gridCol w:w="1624"/>
        <w:gridCol w:w="1624"/>
        <w:gridCol w:w="1624"/>
        <w:gridCol w:w="1624"/>
        <w:gridCol w:w="1624"/>
        <w:tblGridChange w:id="0">
          <w:tblGrid>
            <w:gridCol w:w="1624"/>
            <w:gridCol w:w="1624"/>
            <w:gridCol w:w="1624"/>
            <w:gridCol w:w="1624"/>
            <w:gridCol w:w="1624"/>
            <w:gridCol w:w="162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Perguntas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Efeito aleatório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Estimação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Resultado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Modelo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Máxima verossimilhança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LR=10,69; gl=4; p=0,03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Intercepto por 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Coeficientes e erros-padrão praticamente inalterados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 modelo principal, a distribuição das preferências variou em função do avaliador. A análise de sensibilidade com intercepto aleatório por pergunta preservou praticamente os mesmos coeficientes e erros-padrão, indicando que as conclusões substantivas não foram alteradas pela consideração explícita do agrupamento por item. As categorias com menor frequência foram os empates do Avaliador 1 (n=3) e as preferências sem RAG do Avaliador 2 (n=6), o que contribuiu para a amplitude de alguns intervalos de confiança.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S3. Tamanho amostral e estabilidade das estimativas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Embora cada CLMM tenha utilizado 180 avaliações, a unidade de agrupamento foi composta por apenas 30 perguntas. A concentração das notas em algumas categorias e a presença de células vazias ou pouco frequentes reduziram a informação disponível em determinados estratos. Esse padrão ajuda a explicar a ocorrência de razões de chances elevadas acompanhadas de intervalos de confiança amplos, como em Aderência para o Avaliador 2 (OR=7,39; IC95%: 2,53–21,58).</w:t>
      </w:r>
    </w:p>
    <w:p w:rsidR="00000000" w:rsidDel="00000000" w:rsidP="00000000" w:rsidRDefault="00000000" w:rsidRPr="00000000" w14:paraId="0000004D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A mesma cautela se aplica ao modelo multinomial, no qual alguns contrastes foram estimados a partir de poucas ocorrências, como Empate versus Sem RAG para o Avaliador 2 (OR=5,00; IC95%: 0,96–26,11). Portanto, os resultados devem ser interpretados prioritariamente pela direção, magnitude e incerteza dos efeitos, e não apenas pela classificação dicotômica dos valores de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283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qcjfo1plfm9f" w:id="0"/>
      <w:bookmarkEnd w:id="0"/>
      <w:r w:rsidDel="00000000" w:rsidR="00000000" w:rsidRPr="00000000">
        <w:rPr>
          <w:rtl w:val="0"/>
        </w:rPr>
        <w:t xml:space="preserve">S4. Concordância nas dimensões ordinais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as cinco dimensões avaliadas em escala Likert, a concordância entre cada par de avaliadores foi estimada por meio do kappa de Cohen ponderado com pesos quadráticos. A concordância conjunta entre os três avaliadores foi estimada pelo alfa de Krippendorff ordinal. Todas as estimativas são apresentadas com intervalos de confiança de 95%.</w:t>
      </w:r>
    </w:p>
    <w:p w:rsidR="00000000" w:rsidDel="00000000" w:rsidP="00000000" w:rsidRDefault="00000000" w:rsidRPr="00000000" w14:paraId="00000052">
      <w:pPr>
        <w:spacing w:after="120" w:before="80" w:line="276" w:lineRule="auto"/>
        <w:ind w:right="283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3.7078651685395"/>
        <w:gridCol w:w="2020.8764044943819"/>
        <w:gridCol w:w="2020.8764044943819"/>
        <w:gridCol w:w="2020.8764044943819"/>
        <w:gridCol w:w="2289.6629213483147"/>
        <w:tblGridChange w:id="0">
          <w:tblGrid>
            <w:gridCol w:w="1393.7078651685395"/>
            <w:gridCol w:w="2020.8764044943819"/>
            <w:gridCol w:w="2020.8764044943819"/>
            <w:gridCol w:w="2020.8764044943819"/>
            <w:gridCol w:w="2289.6629213483147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Dimensão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Avaliador 1 × Avaliador 2, κw (IC95%)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Avaliador 1 × LLM judge, κw (IC95%)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Avaliador 2 × LLM judge, κw (IC95%)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Alfa de Krippendorff ordinal (IC95%)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Acurácia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0,354 (0,168–0,511)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-1758450424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0,167 (−0,083–0,371)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0,352 (0,097–0,552)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-123807412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0,186 (−0,015–0,363)</w:t>
                </w:r>
              </w:sdtContent>
            </w:sdt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Completude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481966261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0,172 (−0,021–0,370)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0,134 (0,008–0,243)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0,297 (0,058–0,520)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1937095666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0,051 (−0,112–0,199)</w:t>
                </w:r>
              </w:sdtContent>
            </w:sdt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Aderência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0,240 (0,039–0,429)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0,273 (0,052–0,467)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0,456 (0,204–0,630)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0,236 (0,042–0,413)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Utilidade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0,276 (0,065–0,471)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0,212 (0,049–0,393)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0,344 (0,107–0,553)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-2120384671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0,176 (−0,017–0,350)</w:t>
                </w:r>
              </w:sdtContent>
            </w:sdt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Clareza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-892954923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0,124 (−0,044–0,337)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1633848959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−0,001 (−0,217–0,197)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0,277 (0,014–0,519)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-734987488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0,008 (−0,166–0,186)</w:t>
                </w:r>
              </w:sdtContent>
            </w:sdt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283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283" w:firstLine="0"/>
        <w:jc w:val="left"/>
        <w:rPr/>
      </w:pPr>
      <w:r w:rsidDel="00000000" w:rsidR="00000000" w:rsidRPr="00000000">
        <w:rPr>
          <w:rtl w:val="0"/>
        </w:rPr>
        <w:t xml:space="preserve">Em conjunto, os resultados indicaram concordância baixa ou limitada, com variação entre dimensões e pares de avaliadores. A maior estimativa pareada foi observada em Aderência entre o Avaliador 2 e o LLM judge, enquanto a menor ocorreu em Clareza entre o Avaliador 1 e o LLM judge.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28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120" w:before="80" w:line="276" w:lineRule="auto"/>
        <w:ind w:right="283"/>
        <w:rPr/>
      </w:pPr>
      <w:bookmarkStart w:colFirst="0" w:colLast="0" w:name="_heading=h.t8ydtjlmth7h" w:id="1"/>
      <w:bookmarkEnd w:id="1"/>
      <w:r w:rsidDel="00000000" w:rsidR="00000000" w:rsidRPr="00000000">
        <w:rPr>
          <w:rtl w:val="0"/>
        </w:rPr>
        <w:t xml:space="preserve">S5. Concordância na preferência global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283" w:firstLine="0"/>
        <w:jc w:val="left"/>
        <w:rPr/>
      </w:pPr>
      <w:r w:rsidDel="00000000" w:rsidR="00000000" w:rsidRPr="00000000">
        <w:rPr>
          <w:rtl w:val="0"/>
        </w:rPr>
        <w:t xml:space="preserve">Para a preferência global, composta pelas categorias com RAG, sem RAG e empate, foram calculados kappas de Cohen nominais para cada par de avaliadores e o alfa de Krippendorff nominal para os três avaliadores conjuntamente.</w:t>
      </w:r>
    </w:p>
    <w:p w:rsidR="00000000" w:rsidDel="00000000" w:rsidP="00000000" w:rsidRDefault="00000000" w:rsidRPr="00000000" w14:paraId="00000077">
      <w:pPr>
        <w:spacing w:after="120" w:before="80" w:line="276" w:lineRule="auto"/>
        <w:ind w:right="283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30"/>
        <w:gridCol w:w="1695"/>
        <w:gridCol w:w="1995"/>
        <w:tblGridChange w:id="0">
          <w:tblGrid>
            <w:gridCol w:w="6330"/>
            <w:gridCol w:w="1695"/>
            <w:gridCol w:w="1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20" w:before="80" w:line="276" w:lineRule="auto"/>
              <w:ind w:right="283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before="80" w:line="276" w:lineRule="auto"/>
              <w:ind w:right="283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before="80" w:line="276" w:lineRule="auto"/>
              <w:ind w:right="283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before="80" w:line="276" w:lineRule="auto"/>
              <w:ind w:right="283"/>
              <w:rPr/>
            </w:pPr>
            <w:r w:rsidDel="00000000" w:rsidR="00000000" w:rsidRPr="00000000">
              <w:rPr>
                <w:rtl w:val="0"/>
              </w:rPr>
              <w:t xml:space="preserve">Kappa nominal — Avaliador 1 × Avaliador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before="80" w:line="276" w:lineRule="auto"/>
              <w:ind w:right="283"/>
              <w:rPr/>
            </w:pPr>
            <w:r w:rsidDel="00000000" w:rsidR="00000000" w:rsidRPr="00000000">
              <w:rPr>
                <w:rtl w:val="0"/>
              </w:rPr>
              <w:t xml:space="preserve">0,043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80" w:line="276" w:lineRule="auto"/>
              <w:ind w:right="283"/>
              <w:rPr/>
            </w:pPr>
            <w:sdt>
              <w:sdtPr>
                <w:id w:val="-943465996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−0,203–0,300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80" w:line="276" w:lineRule="auto"/>
              <w:ind w:right="283"/>
              <w:rPr/>
            </w:pPr>
            <w:r w:rsidDel="00000000" w:rsidR="00000000" w:rsidRPr="00000000">
              <w:rPr>
                <w:rtl w:val="0"/>
              </w:rPr>
              <w:t xml:space="preserve">Kappa nominal — Avaliador 1 × LLM judge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80" w:line="276" w:lineRule="auto"/>
              <w:ind w:right="283"/>
              <w:rPr/>
            </w:pPr>
            <w:r w:rsidDel="00000000" w:rsidR="00000000" w:rsidRPr="00000000">
              <w:rPr>
                <w:rtl w:val="0"/>
              </w:rPr>
              <w:t xml:space="preserve">0,053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80" w:line="276" w:lineRule="auto"/>
              <w:ind w:right="283"/>
              <w:rPr/>
            </w:pPr>
            <w:sdt>
              <w:sdtPr>
                <w:id w:val="1723796332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−0,200–0,313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80" w:line="276" w:lineRule="auto"/>
              <w:ind w:right="283"/>
              <w:rPr/>
            </w:pPr>
            <w:r w:rsidDel="00000000" w:rsidR="00000000" w:rsidRPr="00000000">
              <w:rPr>
                <w:rtl w:val="0"/>
              </w:rPr>
              <w:t xml:space="preserve">Kappa nominal — Avaliador 2 × LLM judge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before="80" w:line="276" w:lineRule="auto"/>
              <w:ind w:right="283"/>
              <w:rPr/>
            </w:pPr>
            <w:r w:rsidDel="00000000" w:rsidR="00000000" w:rsidRPr="00000000">
              <w:rPr>
                <w:rtl w:val="0"/>
              </w:rPr>
              <w:t xml:space="preserve">0,177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20" w:before="80" w:line="276" w:lineRule="auto"/>
              <w:ind w:right="283"/>
              <w:rPr/>
            </w:pPr>
            <w:sdt>
              <w:sdtPr>
                <w:id w:val="1168516077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−0,065–0,413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before="80" w:line="276" w:lineRule="auto"/>
              <w:ind w:right="283"/>
              <w:rPr/>
            </w:pPr>
            <w:r w:rsidDel="00000000" w:rsidR="00000000" w:rsidRPr="00000000">
              <w:rPr>
                <w:rtl w:val="0"/>
              </w:rPr>
              <w:t xml:space="preserve">Alfa de Krippendorff nominal — três avaliadores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before="80" w:line="276" w:lineRule="auto"/>
              <w:ind w:right="283"/>
              <w:rPr/>
            </w:pPr>
            <w:r w:rsidDel="00000000" w:rsidR="00000000" w:rsidRPr="00000000">
              <w:rPr>
                <w:rtl w:val="0"/>
              </w:rPr>
              <w:t xml:space="preserve">0,077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before="80" w:line="276" w:lineRule="auto"/>
              <w:ind w:right="283"/>
              <w:rPr/>
            </w:pPr>
            <w:sdt>
              <w:sdtPr>
                <w:id w:val="1349030879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−0,073–0,218</w:t>
                </w:r>
              </w:sdtContent>
            </w:sdt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28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283" w:firstLine="0"/>
        <w:jc w:val="left"/>
        <w:rPr/>
      </w:pPr>
      <w:r w:rsidDel="00000000" w:rsidR="00000000" w:rsidRPr="00000000">
        <w:rPr>
          <w:rtl w:val="0"/>
        </w:rPr>
        <w:t xml:space="preserve">As estimativas indicaram baixa concordância na preferência global, incluindo entre os dois avaliadores humanos. Esse resultado mostra que a escolha final entre com RAG, sem RAG e empate não foi uniforme entre os avaliadores.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28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20" w:before="80" w:line="276" w:lineRule="auto"/>
        <w:ind w:right="283"/>
        <w:rPr/>
      </w:pPr>
      <w:bookmarkStart w:colFirst="0" w:colLast="0" w:name="_heading=h.d2uhfzaplb7b" w:id="2"/>
      <w:bookmarkEnd w:id="2"/>
      <w:r w:rsidDel="00000000" w:rsidR="00000000" w:rsidRPr="00000000">
        <w:rPr>
          <w:rtl w:val="0"/>
        </w:rPr>
        <w:t xml:space="preserve">S6. Configuração e procedimento do LLM judge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avaliador automatizado foi o Claude Opus 4.6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claude-opus-4-6</w:t>
      </w:r>
      <w:r w:rsidDel="00000000" w:rsidR="00000000" w:rsidRPr="00000000">
        <w:rPr>
          <w:rtl w:val="0"/>
        </w:rPr>
        <w:t xml:space="preserve">), da Anthropic, acessado via API com temperatura igual a zero. Os parâmetros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</w:t>
      </w:r>
      <w:r w:rsidDel="00000000" w:rsidR="00000000" w:rsidRPr="00000000">
        <w:rPr>
          <w:rtl w:val="0"/>
        </w:rPr>
        <w:t xml:space="preserve"> não foram definidos explicitamente. Cada julgamento correspondeu a uma única execução válida; novas tentativas foram realizadas somente em caso de erro técnico ou saída incompatível com o formato solicitado, sem agregação de múltiplas respostas.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 avaliações ordinais, cada resposta foi julgada separadamente e cada dimensão foi processada em uma chamada independente. O modelo recebeu a pergunta, uma única resposta e a definição operacional da dimensão correspondente. A escala variou de 1 a 5, com 1 definido como a pior avaliação possível e 5 como a melhor. Não foram fornecidas âncoras textuais específicas para as categorias intermediárias 2, 3 e 4.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preferência global, as respostas A e B foram apresentadas simultaneamente. O modelo deveria selecionar A, B ou empate, considerando conjuntamente acurácia, completude, aderência normativa e documental, utilidade prática e clareza. As respostas permaneceram identificadas apenas como A e B, preservando a randomização usada no estudo.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prompts utilizados estão presentes no arquivo “LLM_is_a_judge_20260408.ipynb”, neste diretório.</w:t>
      </w:r>
    </w:p>
    <w:p w:rsidR="00000000" w:rsidDel="00000000" w:rsidP="00000000" w:rsidRDefault="00000000" w:rsidRPr="00000000" w14:paraId="0000008F">
      <w:pPr>
        <w:pStyle w:val="Heading1"/>
        <w:spacing w:after="240" w:before="240" w:lineRule="auto"/>
        <w:rPr/>
      </w:pPr>
      <w:bookmarkStart w:colFirst="0" w:colLast="0" w:name="_heading=h.utm9jnpq04pb" w:id="3"/>
      <w:bookmarkEnd w:id="3"/>
      <w:r w:rsidDel="00000000" w:rsidR="00000000" w:rsidRPr="00000000">
        <w:rPr>
          <w:rtl w:val="0"/>
        </w:rPr>
        <w:t xml:space="preserve"> S7. Limitações e papel dos avaliadores 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dois avaliadores humanos também eram coautores do estudo, mas não participaram da elaboração das perguntas nem da geração das respostas avaliadas. As respostas foram apresentadas como alternativas A e B, em ordem randomizada e sem identificação da condição experimental. Embora esse procedimento reduza o risco de favorecimento consciente da condição com ou sem RAG, não elimina completamente um possível viés relacionado ao interesse dos avaliadores nos resultados gerais do estudo.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os resultados refletem um único modelo gerador, um único LLM judge, uma configuração específica de prompts e um corpus documental circunscrito ao domínio de governança de dados em saúde. Consequentemente, as estimativas podem variar com outros modelos, versões, rubricas, bases documentais ou domínios de aplicação.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283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Material suplementar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8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Rule="auto"/>
    </w:pPr>
    <w:rPr>
      <w:rFonts w:ascii="Times New Roman" w:cs="Times New Roman" w:eastAsia="Times New Roman" w:hAnsi="Times New Roman"/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b w:val="1"/>
      <w:bCs w:val="1"/>
      <w:color w:val="000000"/>
      <w:sz w:val="30"/>
      <w:szCs w:val="3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8bzITn835MerPbmr6EGPo4RCw==">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