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SBC Minting Process and Fees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 Creates account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SBP 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Adds profile for each individual BTC mine/Data Center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Miners connects unique BTC Mining Pool “subaccount” to each of their Data Centers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 adds “Energy Use” documentation, generally in the form of a utility bill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Utility Bill is read by computer vision and key data points below are extracted and an “Energy Record” is listed for the facility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Facility location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Period of energy consumption (dates of use)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Energy Consumption in MWh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 adds unique and exclusive “Clean Energy” rights, generally as RECs or a PPA agreement.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SBP platform calculates Total BTC mined x  Clean Energy percentage to issue SBC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98.545 BTC x 100% clean energy = 98.545 SBC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150.4 BTC x 75% clean energy = 112.6 SBC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time of SBC issuance, a 5% platform Fee is taken the protocol's token, SBC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newly minted SBC are added to the miner’s custodial wallet on the SBP platform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 is free to transact with their SBC by connecting a Web3-enabled wallet that supports the BASE blockchain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3800475</wp:posOffset>
          </wp:positionH>
          <wp:positionV relativeFrom="paragraph">
            <wp:posOffset>47626</wp:posOffset>
          </wp:positionV>
          <wp:extent cx="3036094" cy="3157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36094" cy="31575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sustainablebtc.org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