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yyx2rh7r9xs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New Energy Transition Asset — Powered by Bitcoin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SBP is building the infrastructure for a new market category: Bitcoin-backed energy transition Investments.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SBP is the foundational infrastructure to position Bitcoin as a credible energy transition asset class. We are actively preparing the market infrastructure to scale SBP as a liquid and auditable financial instrument, connected to the world’s top bitcoin miners.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pbrzvky3s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Mining Partners: Live and Onchain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The following mining organizations are already earning SBP tokens, backed by verification of clean energy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CleanSpark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Bitfarms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PowRe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Bitdeer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Zero Two (Abu Dhabi sovereign miner)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SATO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Penguin Digital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Green Digital (Bhutanese sovereign miner)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Big Block Mining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Hearst Mining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Delta Mining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Digital Power Optimization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Exos Financial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GreenMiningDAO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Prosperity Digital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Gridless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group spans North America, Asia, the Middle East, and Africa, positioning SBP as the leading global verification layer for clean energy Bitcoin mining.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vvhi377pi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w4ruk10nk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4jfdhvh11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Next Cohort: Institutional-Scale Miners Ready to Launch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new wave of top-tier miners have signaled readiness to adopt the protocol once liquidity and institutional market access are in place. These miners represent significant global hashrate and energy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Marathon (already has SBP tokens through JV with ZeroTwo)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Tether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Phoenix Group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Canaan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Bitmain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HIVE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TerraWulf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SBP is actively engaged with these firms to onboard them as partners as soon as market depth enables institutional execution of SBP tokens.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crjpyg8a6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It Matters for OTC Market Makers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SBP</w:t>
      </w:r>
      <w:r w:rsidDel="00000000" w:rsidR="00000000" w:rsidRPr="00000000">
        <w:rPr>
          <w:rtl w:val="0"/>
        </w:rPr>
        <w:t xml:space="preserve"> is uniquely positioned to become the standardized instrument for verifiable clean Bitcoin, offering OTC Market Maker desks: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Access to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leading global Bitcoin Miners </w:t>
      </w:r>
      <w:r w:rsidDel="00000000" w:rsidR="00000000" w:rsidRPr="00000000">
        <w:rPr>
          <w:rtl w:val="0"/>
        </w:rPr>
        <w:t xml:space="preserve">for BTC + SBP block trades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Including </w:t>
      </w:r>
      <w:r w:rsidDel="00000000" w:rsidR="00000000" w:rsidRPr="00000000">
        <w:rPr>
          <w:b w:val="1"/>
          <w:bCs w:val="1"/>
          <w:rtl w:val="0"/>
        </w:rPr>
        <w:t xml:space="preserve">options and derivatives to help miners manage their production</w:t>
      </w:r>
      <w:r w:rsidDel="00000000" w:rsidR="00000000" w:rsidRPr="00000000">
        <w:rPr>
          <w:rtl w:val="0"/>
        </w:rPr>
        <w:t xml:space="preserve"> as well as </w:t>
      </w:r>
      <w:r w:rsidDel="00000000" w:rsidR="00000000" w:rsidRPr="00000000">
        <w:rPr>
          <w:b w:val="1"/>
          <w:bCs w:val="1"/>
          <w:rtl w:val="0"/>
        </w:rPr>
        <w:t xml:space="preserve">creating potential yield strategies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new regulatory-aligned commodity derivative (SBP) </w:t>
      </w:r>
      <w:r w:rsidDel="00000000" w:rsidR="00000000" w:rsidRPr="00000000">
        <w:rPr>
          <w:rtl w:val="0"/>
        </w:rPr>
        <w:t xml:space="preserve">tied to Bitcoin mining’s clean energy use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basis trading opportunity</w:t>
      </w:r>
      <w:r w:rsidDel="00000000" w:rsidR="00000000" w:rsidRPr="00000000">
        <w:rPr>
          <w:rtl w:val="0"/>
        </w:rPr>
        <w:t xml:space="preserve"> between Bitcoin and SBP as liquidity emerges</w:t>
        <w:br w:type="textWrapping"/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/>
      <w:drawing>
        <wp:inline distB="114300" distT="114300" distL="114300" distR="114300">
          <wp:extent cx="919163" cy="33222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9163" cy="33222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