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SBP: Financials, Investors, and Partners </w:t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Total Raised: </w:t>
      </w:r>
      <w:r w:rsidDel="00000000" w:rsidR="00000000" w:rsidRPr="00000000">
        <w:rPr>
          <w:color w:val="222222"/>
          <w:rtl w:val="0"/>
        </w:rPr>
        <w:t xml:space="preserve">$3,200,000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Protocol Fees Generated:</w:t>
      </w:r>
      <w:r w:rsidDel="00000000" w:rsidR="00000000" w:rsidRPr="00000000">
        <w:rPr>
          <w:color w:val="222222"/>
          <w:rtl w:val="0"/>
        </w:rPr>
        <w:t xml:space="preserve"> $1.55m in native token based on price from most recent Coinbase Diamond transaction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Investors</w:t>
      </w:r>
      <w:r w:rsidDel="00000000" w:rsidR="00000000" w:rsidRPr="00000000">
        <w:rPr>
          <w:color w:val="222222"/>
          <w:rtl w:val="0"/>
        </w:rPr>
        <w:t xml:space="preserve">: Mubadala, Hub71, Jihan Wu - Bitdeer Technologies, Blackpine Private Equity, Cerulean Ventures, Token Bay Capital, New Layer Capital, Hawksburn Capital, Bitcoin Frontier Fund, Wincent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Partners: </w:t>
      </w:r>
      <w:r w:rsidDel="00000000" w:rsidR="00000000" w:rsidRPr="00000000">
        <w:rPr>
          <w:color w:val="222222"/>
          <w:rtl w:val="0"/>
        </w:rPr>
        <w:t xml:space="preserve">Coinbase Asset Management, Fireblocks, Zodia Custody/Tungsten, BitGo, Copper, DRW Cumberland, DRW Artemeter, Bitstamp, ADGM, Hub71/Mubadala. 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Tokenomics:</w:t>
      </w:r>
      <w:r w:rsidDel="00000000" w:rsidR="00000000" w:rsidRPr="00000000">
        <w:rPr>
          <w:color w:val="222222"/>
          <w:rtl w:val="0"/>
        </w:rPr>
        <w:t xml:space="preserve"> 21m fixed supply - Proof of Clean Work asset. SBP generates fees in our native token and in fiat from clean energy brokerages. 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Mining Partners: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BitFarms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CleanSpark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Bitdeer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Two (Abu Dhabi sovereign miner)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Penguin Digital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Digital (Bhutanese sovereign miner)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Block Mining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Hearst Mining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Mining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Power Optimization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Exos Financial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GreenMiningDAO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Prosperity Digital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drawing>
        <wp:inline distB="114300" distT="114300" distL="114300" distR="114300">
          <wp:extent cx="777856" cy="2809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856" cy="280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