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ptos" w:cs="Aptos" w:eastAsia="Aptos" w:hAnsi="Aptos"/>
          <w:b w:val="1"/>
          <w:bCs w:val="1"/>
        </w:rPr>
      </w:pPr>
      <w:r w:rsidDel="00000000" w:rsidR="00000000" w:rsidRPr="00000000">
        <w:rPr>
          <w:rFonts w:ascii="Aptos" w:cs="Aptos" w:eastAsia="Aptos" w:hAnsi="Aptos"/>
          <w:b w:val="1"/>
          <w:bCs w:val="1"/>
          <w:rtl w:val="0"/>
        </w:rPr>
        <w:t xml:space="preserve">FOR IMMEDIATE RELEASE</w:t>
      </w:r>
    </w:p>
    <w:p w:rsidR="00000000" w:rsidDel="00000000" w:rsidP="00000000" w:rsidRDefault="00000000" w:rsidRPr="00000000" w14:paraId="00000002">
      <w:pPr>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Hub71 startup, Sustainable Bitcoin Protocol Completes First Onchain Energy Transition Asset Auctions on Coinbase Project Diamond under ADGM Framework</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center"/>
        <w:rPr>
          <w:rFonts w:ascii="Aptos" w:cs="Aptos" w:eastAsia="Aptos" w:hAnsi="Aptos"/>
          <w:sz w:val="22"/>
          <w:szCs w:val="22"/>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First regulated onchain auctions of energy transition assets completed within ADGM</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sz w:val="22"/>
          <w:szCs w:val="22"/>
          <w:rtl w:val="0"/>
        </w:rPr>
        <w:t xml:space="preserve">SBP token connects Bitcoin mining to verified clean energy use, creating a new class of climate-aligned digital assets</w:t>
      </w:r>
      <w:r w:rsidDel="00000000" w:rsidR="00000000" w:rsidRPr="00000000">
        <w:rPr>
          <w:rtl w:val="0"/>
        </w:rPr>
      </w:r>
    </w:p>
    <w:p w:rsidR="00000000" w:rsidDel="00000000" w:rsidP="00000000" w:rsidRDefault="00000000" w:rsidRPr="00000000" w14:paraId="00000005">
      <w:pPr>
        <w:rPr>
          <w:rFonts w:ascii="Aptos" w:cs="Aptos" w:eastAsia="Aptos" w:hAnsi="Aptos"/>
        </w:rPr>
      </w:pPr>
      <w:r w:rsidDel="00000000" w:rsidR="00000000" w:rsidRPr="00000000">
        <w:rPr>
          <w:rFonts w:ascii="Aptos" w:cs="Aptos" w:eastAsia="Aptos" w:hAnsi="Aptos"/>
          <w:b w:val="1"/>
          <w:bCs w:val="1"/>
          <w:rtl w:val="0"/>
        </w:rPr>
        <w:t xml:space="preserve">Abu Dhabi, UAE - December 5th, 2025</w:t>
      </w:r>
      <w:r w:rsidDel="00000000" w:rsidR="00000000" w:rsidRPr="00000000">
        <w:rPr>
          <w:rFonts w:ascii="Aptos" w:cs="Aptos" w:eastAsia="Aptos" w:hAnsi="Aptos"/>
          <w:rtl w:val="0"/>
        </w:rPr>
        <w:t xml:space="preserve">: Hub71 startup, Sustainable Bitcoin Protocol (SBP) announced the inaugural transaction of the first tokenized energy transition asset derived from Bitcoin, </w:t>
      </w:r>
      <w:r w:rsidDel="00000000" w:rsidR="00000000" w:rsidRPr="00000000">
        <w:rPr>
          <w:rFonts w:ascii="Aptos" w:cs="Aptos" w:eastAsia="Aptos" w:hAnsi="Aptos"/>
          <w:rtl w:val="0"/>
        </w:rPr>
        <w:t xml:space="preserve">the SBP token</w:t>
      </w:r>
      <w:r w:rsidDel="00000000" w:rsidR="00000000" w:rsidRPr="00000000">
        <w:rPr>
          <w:rFonts w:ascii="Aptos" w:cs="Aptos" w:eastAsia="Aptos" w:hAnsi="Aptos"/>
          <w:rtl w:val="0"/>
        </w:rPr>
        <w:t xml:space="preserve">, traded on Coinbase Project Diamond within the ADGM  RegLab, the Financial Services Regulatory Authority’s regulatory sandbox.</w:t>
      </w:r>
    </w:p>
    <w:p w:rsidR="00000000" w:rsidDel="00000000" w:rsidP="00000000" w:rsidRDefault="00000000" w:rsidRPr="00000000" w14:paraId="00000006">
      <w:pPr>
        <w:rPr>
          <w:rFonts w:ascii="Aptos" w:cs="Aptos" w:eastAsia="Aptos" w:hAnsi="Aptos"/>
          <w:i w:val="1"/>
          <w:iCs w:val="1"/>
        </w:rPr>
      </w:pPr>
      <w:r w:rsidDel="00000000" w:rsidR="00000000" w:rsidRPr="00000000">
        <w:rPr>
          <w:rFonts w:ascii="Aptos" w:cs="Aptos" w:eastAsia="Aptos" w:hAnsi="Aptos"/>
          <w:rtl w:val="0"/>
        </w:rPr>
        <w:t xml:space="preserve">SBP marks a breakthrough in digital asset innovation, linking Bitcoin mining to verified clean energy consumption and establishing a new class of climate-aligned digital assets for institutional and retail investors. The launch represents a global first in tokenizing a Bitcoin-derived clean energy asset under a regulated framework, connecting the worlds of energy transition and digital finance</w:t>
      </w:r>
      <w:r w:rsidDel="00000000" w:rsidR="00000000" w:rsidRPr="00000000">
        <w:rPr>
          <w:rFonts w:ascii="Aptos" w:cs="Aptos" w:eastAsia="Aptos" w:hAnsi="Aptos"/>
          <w:i w:val="1"/>
          <w:iCs w:val="1"/>
          <w:rtl w:val="0"/>
        </w:rPr>
        <w:t xml:space="preserve">.</w:t>
      </w:r>
    </w:p>
    <w:p w:rsidR="00000000" w:rsidDel="00000000" w:rsidP="00000000" w:rsidRDefault="00000000" w:rsidRPr="00000000" w14:paraId="00000007">
      <w:pPr>
        <w:rPr>
          <w:rFonts w:ascii="Aptos" w:cs="Aptos" w:eastAsia="Aptos" w:hAnsi="Aptos"/>
          <w:i w:val="1"/>
          <w:iCs w:val="1"/>
        </w:rPr>
      </w:pPr>
      <w:r w:rsidDel="00000000" w:rsidR="00000000" w:rsidRPr="00000000">
        <w:rPr>
          <w:rFonts w:ascii="Aptos" w:cs="Aptos" w:eastAsia="Aptos" w:hAnsi="Aptos"/>
          <w:b w:val="1"/>
          <w:bCs w:val="1"/>
          <w:rtl w:val="0"/>
        </w:rPr>
        <w:t xml:space="preserve">Bradford Van Voorhees, CEO of SBP, said  </w:t>
      </w:r>
      <w:r w:rsidDel="00000000" w:rsidR="00000000" w:rsidRPr="00000000">
        <w:rPr>
          <w:rFonts w:ascii="Aptos" w:cs="Aptos" w:eastAsia="Aptos" w:hAnsi="Aptos"/>
          <w:rtl w:val="0"/>
        </w:rPr>
        <w:t xml:space="preserve">“For years, Bitcoin energy consumption was seen as part of the climate problem, we believe it’s part of the solution</w:t>
      </w:r>
      <w:r w:rsidDel="00000000" w:rsidR="00000000" w:rsidRPr="00000000">
        <w:rPr>
          <w:rFonts w:ascii="Aptos" w:cs="Aptos" w:eastAsia="Aptos" w:hAnsi="Aptos"/>
          <w:rtl w:val="0"/>
        </w:rPr>
        <w:t xml:space="preserve">. SBP token flips the Bitcoin energy narrative on its head by turning verified clean compute into a financial asset. These auctions mark a turning point and show how Abu Dhabi’s tech ecosystem is transforming energy use into investable climate assets”.</w:t>
      </w:r>
      <w:r w:rsidDel="00000000" w:rsidR="00000000" w:rsidRPr="00000000">
        <w:rPr>
          <w:rtl w:val="0"/>
        </w:rPr>
      </w:r>
    </w:p>
    <w:p w:rsidR="00000000" w:rsidDel="00000000" w:rsidP="00000000" w:rsidRDefault="00000000" w:rsidRPr="00000000" w14:paraId="00000008">
      <w:pPr>
        <w:rPr>
          <w:rFonts w:ascii="Aptos" w:cs="Aptos" w:eastAsia="Aptos" w:hAnsi="Aptos"/>
        </w:rPr>
      </w:pPr>
      <w:r w:rsidDel="00000000" w:rsidR="00000000" w:rsidRPr="00000000">
        <w:rPr>
          <w:rFonts w:ascii="Aptos" w:cs="Aptos" w:eastAsia="Aptos" w:hAnsi="Aptos"/>
          <w:rtl w:val="0"/>
        </w:rPr>
        <w:t xml:space="preserve">The </w:t>
      </w:r>
      <w:r w:rsidDel="00000000" w:rsidR="00000000" w:rsidRPr="00000000">
        <w:rPr>
          <w:rFonts w:ascii="Aptos" w:cs="Aptos" w:eastAsia="Aptos" w:hAnsi="Aptos"/>
          <w:rtl w:val="0"/>
        </w:rPr>
        <w:t xml:space="preserve">achievement</w:t>
      </w:r>
      <w:r w:rsidDel="00000000" w:rsidR="00000000" w:rsidRPr="00000000">
        <w:rPr>
          <w:rFonts w:ascii="Aptos" w:cs="Aptos" w:eastAsia="Aptos" w:hAnsi="Aptos"/>
          <w:rtl w:val="0"/>
        </w:rPr>
        <w:t xml:space="preserve"> re</w:t>
      </w:r>
      <w:r w:rsidDel="00000000" w:rsidR="00000000" w:rsidRPr="00000000">
        <w:rPr>
          <w:rFonts w:ascii="Aptos" w:cs="Aptos" w:eastAsia="Aptos" w:hAnsi="Aptos"/>
          <w:rtl w:val="0"/>
        </w:rPr>
        <w:t xml:space="preserve">inforces</w:t>
      </w:r>
      <w:r w:rsidDel="00000000" w:rsidR="00000000" w:rsidRPr="00000000">
        <w:rPr>
          <w:rFonts w:ascii="Aptos" w:cs="Aptos" w:eastAsia="Aptos" w:hAnsi="Aptos"/>
          <w:rtl w:val="0"/>
        </w:rPr>
        <w:t xml:space="preserve"> Abu Dhabi’s growing role as a hub for regulated digital asset innovation, supported by</w:t>
      </w:r>
      <w:r w:rsidDel="00000000" w:rsidR="00000000" w:rsidRPr="00000000">
        <w:rPr>
          <w:rFonts w:ascii="Aptos" w:cs="Aptos" w:eastAsia="Aptos" w:hAnsi="Aptos"/>
          <w:rtl w:val="0"/>
        </w:rPr>
        <w:t xml:space="preserve"> </w:t>
      </w:r>
      <w:r w:rsidDel="00000000" w:rsidR="00000000" w:rsidRPr="00000000">
        <w:rPr>
          <w:rFonts w:ascii="Aptos" w:cs="Aptos" w:eastAsia="Aptos" w:hAnsi="Aptos"/>
          <w:rtl w:val="0"/>
        </w:rPr>
        <w:t xml:space="preserve">ADGM and Hub71. Through Hub71+ Digital Assets, </w:t>
      </w:r>
      <w:r w:rsidDel="00000000" w:rsidR="00000000" w:rsidRPr="00000000">
        <w:rPr>
          <w:rFonts w:ascii="Aptos" w:cs="Aptos" w:eastAsia="Aptos" w:hAnsi="Aptos"/>
          <w:rtl w:val="0"/>
        </w:rPr>
        <w:t xml:space="preserve">a</w:t>
      </w:r>
      <w:r w:rsidDel="00000000" w:rsidR="00000000" w:rsidRPr="00000000">
        <w:rPr>
          <w:rFonts w:ascii="Aptos" w:cs="Aptos" w:eastAsia="Aptos" w:hAnsi="Aptos"/>
          <w:rtl w:val="0"/>
        </w:rPr>
        <w:t xml:space="preserve"> specialist ecosystem for blockchain, Web3 and tokenization, SBP has benefited from an environment where technology, finance and regulation work together to advance sustainable digital asset solutions.</w:t>
      </w:r>
      <w:r w:rsidDel="00000000" w:rsidR="00000000" w:rsidRPr="00000000">
        <w:rPr>
          <w:rtl w:val="0"/>
        </w:rPr>
      </w:r>
    </w:p>
    <w:p w:rsidR="00000000" w:rsidDel="00000000" w:rsidP="00000000" w:rsidRDefault="00000000" w:rsidRPr="00000000" w14:paraId="00000009">
      <w:pPr>
        <w:rPr>
          <w:rFonts w:ascii="Aptos" w:cs="Aptos" w:eastAsia="Aptos" w:hAnsi="Aptos"/>
        </w:rPr>
      </w:pPr>
      <w:r w:rsidDel="00000000" w:rsidR="00000000" w:rsidRPr="00000000">
        <w:rPr>
          <w:rFonts w:ascii="Aptos" w:cs="Aptos" w:eastAsia="Aptos" w:hAnsi="Aptos"/>
          <w:b w:val="1"/>
          <w:bCs w:val="1"/>
          <w:rtl w:val="0"/>
        </w:rPr>
        <w:t xml:space="preserve">Peter Abou Hachem, Head of Growth and Strategy, Hub71 said</w:t>
      </w:r>
      <w:r w:rsidDel="00000000" w:rsidR="00000000" w:rsidRPr="00000000">
        <w:rPr>
          <w:rFonts w:ascii="Aptos" w:cs="Aptos" w:eastAsia="Aptos" w:hAnsi="Aptos"/>
          <w:rtl w:val="0"/>
        </w:rPr>
        <w:t xml:space="preserve">: “Through Hub71+ Digital Assets, we are shaping the future of finance by building an ecosystem where pioneering startups, global investors and regulators collaborate to unlock new asset classes. SBP’s milestone reflects Abu Dhabi’s ambition to become a global center for the development of digital assets that drive both financial and sustainable impact.”</w:t>
      </w:r>
    </w:p>
    <w:p w:rsidR="00000000" w:rsidDel="00000000" w:rsidP="00000000" w:rsidRDefault="00000000" w:rsidRPr="00000000" w14:paraId="0000000A">
      <w:pPr>
        <w:rPr>
          <w:rFonts w:ascii="Aptos" w:cs="Aptos" w:eastAsia="Aptos" w:hAnsi="Aptos"/>
          <w:b w:val="1"/>
          <w:bCs w:val="1"/>
          <w:shd w:fill="b6d7a8" w:val="clear"/>
        </w:rPr>
      </w:pPr>
      <w:r w:rsidDel="00000000" w:rsidR="00000000" w:rsidRPr="00000000">
        <w:rPr>
          <w:rFonts w:ascii="Aptos" w:cs="Aptos" w:eastAsia="Aptos" w:hAnsi="Aptos"/>
          <w:highlight w:val="white"/>
          <w:rtl w:val="0"/>
        </w:rPr>
        <w:t xml:space="preserve">The inaugural auctions were conducted on Coinbase Project Diamond, a regulated digital asset platform operating within the FSRA’s regulatory sandbox, and brought together a consortium of leading institutional stakeholders, including: Zero Two (backed by Further Ventures and Abu Dhabi’s Sovereign Wealth Fund ADQ), NASDAQ-listed miner, GSR (leading cryptocurrency market maker and trading firm), and Firinne Capital (digital asset investment manager)</w:t>
        <w:br w:type="textWrapping"/>
        <w:br w:type="textWrapping"/>
      </w:r>
      <w:r w:rsidDel="00000000" w:rsidR="00000000" w:rsidRPr="00000000">
        <w:rPr>
          <w:rFonts w:ascii="Arial" w:cs="Arial" w:eastAsia="Arial" w:hAnsi="Arial"/>
          <w:rtl w:val="0"/>
        </w:rPr>
        <w:t xml:space="preserve">“Coinbase Project Diamond platform was designed to deliver secure, compliant, capital market activity, helping to unlock institutional adoption of the global cryptoeconomy,” said Shaun Martinak, Head of Tokenization, Coinbase. “Facilitating the first SBP auctions under ADGM plays a pivotal role in accelerating the evolution of tokenized financial assets within regulated platforms by connecting institutional capital to climate focused digital assets via Project Diamond.”</w:t>
      </w:r>
      <w:r w:rsidDel="00000000" w:rsidR="00000000" w:rsidRPr="00000000">
        <w:rPr>
          <w:rtl w:val="0"/>
        </w:rPr>
      </w:r>
    </w:p>
    <w:p w:rsidR="00000000" w:rsidDel="00000000" w:rsidP="00000000" w:rsidRDefault="00000000" w:rsidRPr="00000000" w14:paraId="0000000B">
      <w:pPr>
        <w:rPr>
          <w:rFonts w:ascii="Aptos" w:cs="Aptos" w:eastAsia="Aptos" w:hAnsi="Aptos"/>
        </w:rPr>
      </w:pPr>
      <w:r w:rsidDel="00000000" w:rsidR="00000000" w:rsidRPr="00000000">
        <w:rPr>
          <w:rFonts w:ascii="Aptos" w:cs="Aptos" w:eastAsia="Aptos" w:hAnsi="Aptos"/>
          <w:rtl w:val="0"/>
        </w:rPr>
        <w:t xml:space="preserve">The milestone underscores the collaboration between innovators, financial institutions and regulators in Abu Dhabi. Supported by ADGM’s progressive regulatory framework and Hub71’s ecosystem, the Emirate continues to attract and scale companies that are redefining the future of global digital finance. The SBP auctions reinforce Abu Dhabi’s leadership as the Capital of Green Capital for sustainable finance and blockchain innovation, combining digital asset infrastructure, institutional governance and energy transition investing.</w:t>
      </w:r>
    </w:p>
    <w:p w:rsidR="00000000" w:rsidDel="00000000" w:rsidP="00000000" w:rsidRDefault="00000000" w:rsidRPr="00000000" w14:paraId="0000000C">
      <w:pPr>
        <w:rPr>
          <w:rFonts w:ascii="Aptos" w:cs="Aptos" w:eastAsia="Aptos" w:hAnsi="Aptos"/>
        </w:rPr>
      </w:pPr>
      <w:r w:rsidDel="00000000" w:rsidR="00000000" w:rsidRPr="00000000">
        <w:rPr>
          <w:rtl w:val="0"/>
        </w:rPr>
      </w:r>
    </w:p>
    <w:p w:rsidR="00000000" w:rsidDel="00000000" w:rsidP="00000000" w:rsidRDefault="00000000" w:rsidRPr="00000000" w14:paraId="0000000D">
      <w:pPr>
        <w:jc w:val="center"/>
        <w:rPr>
          <w:rFonts w:ascii="Aptos" w:cs="Aptos" w:eastAsia="Aptos" w:hAnsi="Aptos"/>
          <w:b w:val="1"/>
          <w:bCs w:val="1"/>
        </w:rPr>
      </w:pPr>
      <w:r w:rsidDel="00000000" w:rsidR="00000000" w:rsidRPr="00000000">
        <w:rPr>
          <w:rFonts w:ascii="Aptos" w:cs="Aptos" w:eastAsia="Aptos" w:hAnsi="Aptos"/>
          <w:b w:val="1"/>
          <w:bCs w:val="1"/>
          <w:rtl w:val="0"/>
        </w:rPr>
        <w:t xml:space="preserve">ENDS </w:t>
      </w:r>
    </w:p>
    <w:p w:rsidR="00000000" w:rsidDel="00000000" w:rsidP="00000000" w:rsidRDefault="00000000" w:rsidRPr="00000000" w14:paraId="0000000E">
      <w:pPr>
        <w:rPr>
          <w:rFonts w:ascii="Aptos" w:cs="Aptos" w:eastAsia="Aptos" w:hAnsi="Aptos"/>
          <w:b w:val="1"/>
          <w:bCs w:val="1"/>
          <w:highlight w:val="white"/>
        </w:rPr>
      </w:pPr>
      <w:r w:rsidDel="00000000" w:rsidR="00000000" w:rsidRPr="00000000">
        <w:rPr>
          <w:rFonts w:ascii="Aptos" w:cs="Aptos" w:eastAsia="Aptos" w:hAnsi="Aptos"/>
          <w:b w:val="1"/>
          <w:bCs w:val="1"/>
          <w:highlight w:val="white"/>
          <w:rtl w:val="0"/>
        </w:rPr>
        <w:t xml:space="preserve">About Sustainable Bitcoin Protocol</w:t>
      </w:r>
    </w:p>
    <w:p w:rsidR="00000000" w:rsidDel="00000000" w:rsidP="00000000" w:rsidRDefault="00000000" w:rsidRPr="00000000" w14:paraId="0000000F">
      <w:pPr>
        <w:rPr>
          <w:rFonts w:ascii="Arial" w:cs="Arial" w:eastAsia="Arial" w:hAnsi="Arial"/>
          <w:b w:val="1"/>
          <w:bCs w:val="1"/>
        </w:rPr>
      </w:pPr>
      <w:r w:rsidDel="00000000" w:rsidR="00000000" w:rsidRPr="00000000">
        <w:rPr>
          <w:rFonts w:ascii="Aptos" w:cs="Aptos" w:eastAsia="Aptos" w:hAnsi="Aptos"/>
          <w:highlight w:val="white"/>
          <w:rtl w:val="0"/>
        </w:rPr>
        <w:t xml:space="preserve">Sustainable Bitcoin Protocol mission is to channel capital into new clean energy generation and sustainable compute through investable digital assets. Its first asset, the SBP token, provides investors with regulated access to clean-energy–backed Bitcoin, delivering both financial returns and measurable climate impact through a transparent, auditable framework. SBP is backed by Mubadala and part of the Abu Dhabi Hub71 global tech ecosystem.</w:t>
      </w:r>
      <w:r w:rsidDel="00000000" w:rsidR="00000000" w:rsidRPr="00000000">
        <w:rPr>
          <w:rFonts w:ascii="Aptos" w:cs="Aptos" w:eastAsia="Aptos" w:hAnsi="Aptos"/>
          <w:rtl w:val="0"/>
        </w:rPr>
        <w:br w:type="textWrapping"/>
        <w:br w:type="textWrapping"/>
      </w:r>
      <w:r w:rsidDel="00000000" w:rsidR="00000000" w:rsidRPr="00000000">
        <w:rPr>
          <w:rFonts w:ascii="Arial" w:cs="Arial" w:eastAsia="Arial" w:hAnsi="Arial"/>
          <w:b w:val="1"/>
          <w:bCs w:val="1"/>
          <w:rtl w:val="0"/>
        </w:rPr>
        <w:t xml:space="preserve">About Coinbase Project Diamond</w:t>
      </w:r>
    </w:p>
    <w:p w:rsidR="00000000" w:rsidDel="00000000" w:rsidP="00000000" w:rsidRDefault="00000000" w:rsidRPr="00000000" w14:paraId="00000010">
      <w:pPr>
        <w:pStyle w:val="Heading2"/>
        <w:keepNext w:val="0"/>
        <w:keepLines w:val="0"/>
        <w:spacing w:after="240" w:before="240" w:line="276" w:lineRule="auto"/>
        <w:rPr>
          <w:rFonts w:ascii="Aptos" w:cs="Aptos" w:eastAsia="Aptos" w:hAnsi="Aptos"/>
          <w:b w:val="1"/>
          <w:bCs w:val="1"/>
          <w:highlight w:val="white"/>
        </w:rPr>
      </w:pPr>
      <w:bookmarkStart w:colFirst="0" w:colLast="0" w:name="_heading=h.rfw2e0brm3qh" w:id="0"/>
      <w:bookmarkEnd w:id="0"/>
      <w:r w:rsidDel="00000000" w:rsidR="00000000" w:rsidRPr="00000000">
        <w:rPr>
          <w:rFonts w:ascii="Arial" w:cs="Arial" w:eastAsia="Arial" w:hAnsi="Arial"/>
          <w:color w:val="000000"/>
          <w:sz w:val="22"/>
          <w:szCs w:val="22"/>
          <w:rtl w:val="0"/>
        </w:rPr>
        <w:t xml:space="preserve">Coinbase Project Diamond is a technology platform provided by Coinbase Global Inc.’s subsidiary Onchain Marketplace Ltd., and is currently available on a limited basis to certain registered institutional users outside the U.S. only. Project Diamond harnesses the power of the Coinbase technology stack: Coinbase Prime custody, Web3 Wallet, the tokenization platform, and USDC, all connected to the Base layer-2 blockchain. Project Diamond has received in-principle approval from the Financial Services Regulated Activity (FSRA) of Abu Dhabi Global Market (ADGM) to conduct the regulated activity of Developing Financial Technology Services within the RegLab.</w:t>
      </w:r>
      <w:r w:rsidDel="00000000" w:rsidR="00000000" w:rsidRPr="00000000">
        <w:rPr>
          <w:rtl w:val="0"/>
        </w:rPr>
      </w:r>
    </w:p>
    <w:p w:rsidR="00000000" w:rsidDel="00000000" w:rsidP="00000000" w:rsidRDefault="00000000" w:rsidRPr="00000000" w14:paraId="00000011">
      <w:pPr>
        <w:rPr>
          <w:rFonts w:ascii="Aptos" w:cs="Aptos" w:eastAsia="Aptos" w:hAnsi="Aptos"/>
          <w:b w:val="1"/>
          <w:bCs w:val="1"/>
        </w:rPr>
      </w:pPr>
      <w:r w:rsidDel="00000000" w:rsidR="00000000" w:rsidRPr="00000000">
        <w:rPr>
          <w:rFonts w:ascii="Aptos" w:cs="Aptos" w:eastAsia="Aptos" w:hAnsi="Aptos"/>
          <w:b w:val="1"/>
          <w:bCs w:val="1"/>
          <w:rtl w:val="0"/>
        </w:rPr>
        <w:t xml:space="preserve">About Hub71: </w:t>
      </w:r>
    </w:p>
    <w:p w:rsidR="00000000" w:rsidDel="00000000" w:rsidP="00000000" w:rsidRDefault="00000000" w:rsidRPr="00000000" w14:paraId="00000012">
      <w:pPr>
        <w:rPr>
          <w:rFonts w:ascii="Aptos" w:cs="Aptos" w:eastAsia="Aptos" w:hAnsi="Aptos"/>
        </w:rPr>
      </w:pPr>
      <w:r w:rsidDel="00000000" w:rsidR="00000000" w:rsidRPr="00000000">
        <w:rPr>
          <w:rFonts w:ascii="Aptos" w:cs="Aptos" w:eastAsia="Aptos" w:hAnsi="Aptos"/>
          <w:rtl w:val="0"/>
        </w:rPr>
        <w:t xml:space="preserve">Hub71 is Abu Dhabi’s global tech ecosystem that enables founders to build globally enduring homegrown tech companies in any sector by providing access to global markets, a capital ecosystem, a global network of partners, and a vibrant community filled with highly skilled talent, governed by forward-thinking regulation.</w:t>
      </w:r>
    </w:p>
    <w:p w:rsidR="00000000" w:rsidDel="00000000" w:rsidP="00000000" w:rsidRDefault="00000000" w:rsidRPr="00000000" w14:paraId="00000013">
      <w:pPr>
        <w:rPr>
          <w:rFonts w:ascii="Aptos" w:cs="Aptos" w:eastAsia="Aptos" w:hAnsi="Aptos"/>
        </w:rPr>
      </w:pPr>
      <w:r w:rsidDel="00000000" w:rsidR="00000000" w:rsidRPr="00000000">
        <w:rPr>
          <w:rFonts w:ascii="Aptos" w:cs="Aptos" w:eastAsia="Aptos" w:hAnsi="Aptos"/>
          <w:rtl w:val="0"/>
        </w:rPr>
        <w:t xml:space="preserve">Backed by the Government of Abu Dhabi and Mubadala Investment Company, Hub71 is growing its vibrant community of tech startups, investors, government, and corporate partners to ensure the availability of investment, commercial activities, and incentives from the public and private sectors. Through Hub71’s entrepreneurial infrastructure, value-add programs, enabling services and support packages, founders can build and scale widely adopted technologies with purpose and impact. Hub71 is on a mission to introduce new minds and technologies to Abu Dhabi, finding new ways to build globally enduring technology companies and sustain the nation’s continuous economic development.</w:t>
      </w:r>
    </w:p>
    <w:p w:rsidR="00000000" w:rsidDel="00000000" w:rsidP="00000000" w:rsidRDefault="00000000" w:rsidRPr="00000000" w14:paraId="00000014">
      <w:pPr>
        <w:rPr>
          <w:rFonts w:ascii="Aptos" w:cs="Aptos" w:eastAsia="Aptos" w:hAnsi="Aptos"/>
        </w:rPr>
      </w:pPr>
      <w:r w:rsidDel="00000000" w:rsidR="00000000" w:rsidRPr="00000000">
        <w:rPr>
          <w:rFonts w:ascii="Aptos" w:cs="Aptos" w:eastAsia="Aptos" w:hAnsi="Aptos"/>
          <w:rtl w:val="0"/>
        </w:rPr>
        <w:t xml:space="preserve">For more information visit </w:t>
      </w:r>
      <w:hyperlink r:id="rId7">
        <w:r w:rsidDel="00000000" w:rsidR="00000000" w:rsidRPr="00000000">
          <w:rPr>
            <w:rFonts w:ascii="Aptos" w:cs="Aptos" w:eastAsia="Aptos" w:hAnsi="Aptos"/>
            <w:color w:val="0563c1"/>
            <w:u w:val="single"/>
            <w:rtl w:val="0"/>
          </w:rPr>
          <w:t xml:space="preserve">www.hub71.com</w:t>
        </w:r>
      </w:hyperlink>
      <w:r w:rsidDel="00000000" w:rsidR="00000000" w:rsidRPr="00000000">
        <w:rPr>
          <w:rFonts w:ascii="Aptos" w:cs="Aptos" w:eastAsia="Aptos" w:hAnsi="Aptos"/>
          <w:rtl w:val="0"/>
        </w:rPr>
        <w:t xml:space="preserve"> and follow us on @Hub71AD #Hub71.</w:t>
      </w:r>
    </w:p>
    <w:p w:rsidR="00000000" w:rsidDel="00000000" w:rsidP="00000000" w:rsidRDefault="00000000" w:rsidRPr="00000000" w14:paraId="00000015">
      <w:pPr>
        <w:rPr>
          <w:rFonts w:ascii="Arial" w:cs="Arial" w:eastAsia="Arial" w:hAnsi="Arial"/>
          <w:color w:val="222222"/>
          <w:highlight w:val="white"/>
        </w:rPr>
      </w:pPr>
      <w:r w:rsidDel="00000000" w:rsidR="00000000" w:rsidRPr="00000000">
        <w:rPr>
          <w:rtl w:val="0"/>
        </w:rPr>
      </w:r>
    </w:p>
    <w:sectPr>
      <w:footerReference r:id="rId8" w:type="default"/>
      <w:footerReference r:id="rId9" w:type="first"/>
      <w:footerReference r:id="rId10"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1608137</wp:posOffset>
              </wp:positionH>
              <wp:positionV relativeFrom="paragraph">
                <wp:posOffset>-4761</wp:posOffset>
              </wp:positionV>
              <wp:extent cx="686435" cy="367030"/>
              <wp:effectExtent b="0" l="0" r="0" t="0"/>
              <wp:wrapNone/>
              <wp:docPr descr="Confidential" id="1932643955" name=""/>
              <a:graphic>
                <a:graphicData uri="http://schemas.microsoft.com/office/word/2010/wordprocessingShape">
                  <wps:wsp>
                    <wps:cNvSpPr/>
                    <wps:cNvPr id="3" name="Shape 3"/>
                    <wps:spPr>
                      <a:xfrm>
                        <a:off x="5007545" y="3601248"/>
                        <a:ext cx="676910" cy="35750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Confidential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1608137</wp:posOffset>
              </wp:positionH>
              <wp:positionV relativeFrom="paragraph">
                <wp:posOffset>-4761</wp:posOffset>
              </wp:positionV>
              <wp:extent cx="686435" cy="367030"/>
              <wp:effectExtent b="0" l="0" r="0" t="0"/>
              <wp:wrapNone/>
              <wp:docPr descr="Confidential" id="1932643955" name="image2.png"/>
              <a:graphic>
                <a:graphicData uri="http://schemas.openxmlformats.org/drawingml/2006/picture">
                  <pic:pic>
                    <pic:nvPicPr>
                      <pic:cNvPr descr="Confidential" id="0" name="image2.png"/>
                      <pic:cNvPicPr preferRelativeResize="0"/>
                    </pic:nvPicPr>
                    <pic:blipFill>
                      <a:blip r:embed="rId1"/>
                      <a:srcRect/>
                      <a:stretch>
                        <a:fillRect/>
                      </a:stretch>
                    </pic:blipFill>
                    <pic:spPr>
                      <a:xfrm>
                        <a:off x="0" y="0"/>
                        <a:ext cx="686435" cy="36703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1608137</wp:posOffset>
              </wp:positionH>
              <wp:positionV relativeFrom="paragraph">
                <wp:posOffset>-4761</wp:posOffset>
              </wp:positionV>
              <wp:extent cx="686435" cy="367030"/>
              <wp:effectExtent b="0" l="0" r="0" t="0"/>
              <wp:wrapNone/>
              <wp:docPr descr="Confidential" id="1932643956" name=""/>
              <a:graphic>
                <a:graphicData uri="http://schemas.microsoft.com/office/word/2010/wordprocessingShape">
                  <wps:wsp>
                    <wps:cNvSpPr/>
                    <wps:cNvPr id="4" name="Shape 4"/>
                    <wps:spPr>
                      <a:xfrm>
                        <a:off x="5007545" y="3601248"/>
                        <a:ext cx="676910" cy="35750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Confidential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1608137</wp:posOffset>
              </wp:positionH>
              <wp:positionV relativeFrom="paragraph">
                <wp:posOffset>-4761</wp:posOffset>
              </wp:positionV>
              <wp:extent cx="686435" cy="367030"/>
              <wp:effectExtent b="0" l="0" r="0" t="0"/>
              <wp:wrapNone/>
              <wp:docPr descr="Confidential" id="1932643956" name="image3.png"/>
              <a:graphic>
                <a:graphicData uri="http://schemas.openxmlformats.org/drawingml/2006/picture">
                  <pic:pic>
                    <pic:nvPicPr>
                      <pic:cNvPr descr="Confidential" id="0" name="image3.png"/>
                      <pic:cNvPicPr preferRelativeResize="0"/>
                    </pic:nvPicPr>
                    <pic:blipFill>
                      <a:blip r:embed="rId1"/>
                      <a:srcRect/>
                      <a:stretch>
                        <a:fillRect/>
                      </a:stretch>
                    </pic:blipFill>
                    <pic:spPr>
                      <a:xfrm>
                        <a:off x="0" y="0"/>
                        <a:ext cx="686435" cy="3670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1608137</wp:posOffset>
              </wp:positionH>
              <wp:positionV relativeFrom="paragraph">
                <wp:posOffset>-4761</wp:posOffset>
              </wp:positionV>
              <wp:extent cx="686435" cy="367030"/>
              <wp:effectExtent b="0" l="0" r="0" t="0"/>
              <wp:wrapNone/>
              <wp:docPr descr="Confidential" id="1932643954" name=""/>
              <a:graphic>
                <a:graphicData uri="http://schemas.microsoft.com/office/word/2010/wordprocessingShape">
                  <wps:wsp>
                    <wps:cNvSpPr/>
                    <wps:cNvPr id="2" name="Shape 2"/>
                    <wps:spPr>
                      <a:xfrm>
                        <a:off x="5007545" y="3601248"/>
                        <a:ext cx="676910" cy="35750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Confidential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1608137</wp:posOffset>
              </wp:positionH>
              <wp:positionV relativeFrom="paragraph">
                <wp:posOffset>-4761</wp:posOffset>
              </wp:positionV>
              <wp:extent cx="686435" cy="367030"/>
              <wp:effectExtent b="0" l="0" r="0" t="0"/>
              <wp:wrapNone/>
              <wp:docPr descr="Confidential" id="1932643954" name="image1.png"/>
              <a:graphic>
                <a:graphicData uri="http://schemas.openxmlformats.org/drawingml/2006/picture">
                  <pic:pic>
                    <pic:nvPicPr>
                      <pic:cNvPr descr="Confidential" id="0" name="image1.png"/>
                      <pic:cNvPicPr preferRelativeResize="0"/>
                    </pic:nvPicPr>
                    <pic:blipFill>
                      <a:blip r:embed="rId1"/>
                      <a:srcRect/>
                      <a:stretch>
                        <a:fillRect/>
                      </a:stretch>
                    </pic:blipFill>
                    <pic:spPr>
                      <a:xfrm>
                        <a:off x="0" y="0"/>
                        <a:ext cx="686435" cy="36703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D7FA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D7FA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D7FA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D7FA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3D7FA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3D7FA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D7FA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D7FA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D7FA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D7FA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D7FA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D7FA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D7FA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D7FA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D7FA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D7FA3"/>
    <w:rPr>
      <w:i w:val="1"/>
      <w:iCs w:val="1"/>
      <w:color w:val="404040" w:themeColor="text1" w:themeTint="0000BF"/>
    </w:rPr>
  </w:style>
  <w:style w:type="paragraph" w:styleId="ListParagraph">
    <w:name w:val="List Paragraph"/>
    <w:basedOn w:val="Normal"/>
    <w:uiPriority w:val="34"/>
    <w:qFormat w:val="1"/>
    <w:rsid w:val="003D7FA3"/>
    <w:pPr>
      <w:ind w:left="720"/>
      <w:contextualSpacing w:val="1"/>
    </w:pPr>
  </w:style>
  <w:style w:type="character" w:styleId="IntenseEmphasis">
    <w:name w:val="Intense Emphasis"/>
    <w:basedOn w:val="DefaultParagraphFont"/>
    <w:uiPriority w:val="21"/>
    <w:qFormat w:val="1"/>
    <w:rsid w:val="003D7FA3"/>
    <w:rPr>
      <w:i w:val="1"/>
      <w:iCs w:val="1"/>
      <w:color w:val="2f5496" w:themeColor="accent1" w:themeShade="0000BF"/>
    </w:rPr>
  </w:style>
  <w:style w:type="paragraph" w:styleId="IntenseQuote">
    <w:name w:val="Intense Quote"/>
    <w:basedOn w:val="Normal"/>
    <w:next w:val="Normal"/>
    <w:link w:val="IntenseQuoteChar"/>
    <w:uiPriority w:val="30"/>
    <w:qFormat w:val="1"/>
    <w:rsid w:val="003D7FA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D7FA3"/>
    <w:rPr>
      <w:i w:val="1"/>
      <w:iCs w:val="1"/>
      <w:color w:val="2f5496" w:themeColor="accent1" w:themeShade="0000BF"/>
    </w:rPr>
  </w:style>
  <w:style w:type="character" w:styleId="IntenseReference">
    <w:name w:val="Intense Reference"/>
    <w:basedOn w:val="DefaultParagraphFont"/>
    <w:uiPriority w:val="32"/>
    <w:qFormat w:val="1"/>
    <w:rsid w:val="003D7FA3"/>
    <w:rPr>
      <w:b w:val="1"/>
      <w:bCs w:val="1"/>
      <w:smallCaps w:val="1"/>
      <w:color w:val="2f5496" w:themeColor="accent1" w:themeShade="0000BF"/>
      <w:spacing w:val="5"/>
    </w:rPr>
  </w:style>
  <w:style w:type="paragraph" w:styleId="Revision">
    <w:name w:val="Revision"/>
    <w:hidden w:val="1"/>
    <w:uiPriority w:val="99"/>
    <w:semiHidden w:val="1"/>
    <w:rsid w:val="003D7FA3"/>
    <w:pPr>
      <w:spacing w:after="0" w:line="240" w:lineRule="auto"/>
    </w:pPr>
  </w:style>
  <w:style w:type="character" w:styleId="Hyperlink">
    <w:name w:val="Hyperlink"/>
    <w:basedOn w:val="DefaultParagraphFont"/>
    <w:uiPriority w:val="99"/>
    <w:unhideWhenUsed w:val="1"/>
    <w:rsid w:val="00B8256F"/>
    <w:rPr>
      <w:color w:val="0563c1" w:themeColor="hyperlink"/>
      <w:u w:val="single"/>
    </w:rPr>
  </w:style>
  <w:style w:type="character" w:styleId="UnresolvedMention">
    <w:name w:val="Unresolved Mention"/>
    <w:basedOn w:val="DefaultParagraphFont"/>
    <w:uiPriority w:val="99"/>
    <w:semiHidden w:val="1"/>
    <w:unhideWhenUsed w:val="1"/>
    <w:rsid w:val="00B8256F"/>
    <w:rPr>
      <w:color w:val="605e5c"/>
      <w:shd w:color="auto" w:fill="e1dfdd" w:val="clear"/>
    </w:rPr>
  </w:style>
  <w:style w:type="paragraph" w:styleId="NormalWeb">
    <w:name w:val="Normal (Web)"/>
    <w:basedOn w:val="Normal"/>
    <w:uiPriority w:val="99"/>
    <w:unhideWhenUsed w:val="1"/>
    <w:rsid w:val="00B8256F"/>
    <w:pPr>
      <w:spacing w:after="100" w:afterAutospacing="1" w:before="100" w:beforeAutospacing="1" w:line="240" w:lineRule="auto"/>
    </w:pPr>
    <w:rPr>
      <w:rFonts w:ascii="Times New Roman" w:cs="Times New Roman" w:eastAsia="Times New Roman" w:hAnsi="Times New Roman"/>
      <w:sz w:val="24"/>
      <w:szCs w:val="24"/>
      <w:lang w:eastAsia="en-AE"/>
    </w:rPr>
  </w:style>
  <w:style w:type="character" w:styleId="CommentReference">
    <w:name w:val="annotation reference"/>
    <w:basedOn w:val="DefaultParagraphFont"/>
    <w:uiPriority w:val="99"/>
    <w:semiHidden w:val="1"/>
    <w:unhideWhenUsed w:val="1"/>
    <w:rsid w:val="00E51130"/>
    <w:rPr>
      <w:sz w:val="16"/>
      <w:szCs w:val="16"/>
    </w:rPr>
  </w:style>
  <w:style w:type="paragraph" w:styleId="CommentText">
    <w:name w:val="annotation text"/>
    <w:basedOn w:val="Normal"/>
    <w:link w:val="CommentTextChar"/>
    <w:uiPriority w:val="99"/>
    <w:unhideWhenUsed w:val="1"/>
    <w:rsid w:val="00E51130"/>
    <w:pPr>
      <w:spacing w:line="240" w:lineRule="auto"/>
    </w:pPr>
    <w:rPr>
      <w:sz w:val="20"/>
      <w:szCs w:val="20"/>
    </w:rPr>
  </w:style>
  <w:style w:type="character" w:styleId="CommentTextChar" w:customStyle="1">
    <w:name w:val="Comment Text Char"/>
    <w:basedOn w:val="DefaultParagraphFont"/>
    <w:link w:val="CommentText"/>
    <w:uiPriority w:val="99"/>
    <w:rsid w:val="00E51130"/>
    <w:rPr>
      <w:sz w:val="20"/>
      <w:szCs w:val="20"/>
    </w:rPr>
  </w:style>
  <w:style w:type="paragraph" w:styleId="CommentSubject">
    <w:name w:val="annotation subject"/>
    <w:basedOn w:val="CommentText"/>
    <w:next w:val="CommentText"/>
    <w:link w:val="CommentSubjectChar"/>
    <w:uiPriority w:val="99"/>
    <w:semiHidden w:val="1"/>
    <w:unhideWhenUsed w:val="1"/>
    <w:rsid w:val="00E51130"/>
    <w:rPr>
      <w:b w:val="1"/>
      <w:bCs w:val="1"/>
    </w:rPr>
  </w:style>
  <w:style w:type="character" w:styleId="CommentSubjectChar" w:customStyle="1">
    <w:name w:val="Comment Subject Char"/>
    <w:basedOn w:val="CommentTextChar"/>
    <w:link w:val="CommentSubject"/>
    <w:uiPriority w:val="99"/>
    <w:semiHidden w:val="1"/>
    <w:rsid w:val="00E51130"/>
    <w:rPr>
      <w:b w:val="1"/>
      <w:bCs w:val="1"/>
      <w:sz w:val="20"/>
      <w:szCs w:val="20"/>
    </w:rPr>
  </w:style>
  <w:style w:type="paragraph" w:styleId="Footer">
    <w:name w:val="footer"/>
    <w:basedOn w:val="Normal"/>
    <w:link w:val="FooterChar"/>
    <w:uiPriority w:val="99"/>
    <w:unhideWhenUsed w:val="1"/>
    <w:rsid w:val="00807C4A"/>
    <w:pPr>
      <w:tabs>
        <w:tab w:val="center" w:pos="4513"/>
        <w:tab w:val="right" w:pos="9026"/>
      </w:tabs>
      <w:spacing w:after="0" w:line="240" w:lineRule="auto"/>
    </w:pPr>
  </w:style>
  <w:style w:type="character" w:styleId="FooterChar" w:customStyle="1">
    <w:name w:val="Footer Char"/>
    <w:basedOn w:val="DefaultParagraphFont"/>
    <w:link w:val="Footer"/>
    <w:uiPriority w:val="99"/>
    <w:rsid w:val="00807C4A"/>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hub71.com" TargetMode="Externa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3QtjdSwxObX8FSO7qObu1OsJuw==">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2025-11-19T13:51:00Z</dcterms:created>
  <dc:creator>Saunders, Zoe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0x01010002B1F71C8E7CB940A2DCC93635AECE78</vt:lpwstr>
  </property>
  <property fmtid="{D5CDD505-2E9C-101B-9397-08002B2CF9AE}" pid="3" name="MediaServiceImageTags">
    <vt:lpwstr/>
  </property>
  <property fmtid="{D5CDD505-2E9C-101B-9397-08002B2CF9AE}" pid="4" name="ClassificationContentMarkingFooterShapeIds">
    <vt:lpwstr>28e0a95e,280ebaf9,7331ce71</vt:lpwstr>
  </property>
  <property fmtid="{D5CDD505-2E9C-101B-9397-08002B2CF9AE}" pid="5" name="ClassificationContentMarkingFooterFontProps">
    <vt:lpwstr>#0000ff,10,Aptos</vt:lpwstr>
  </property>
  <property fmtid="{D5CDD505-2E9C-101B-9397-08002B2CF9AE}" pid="6" name="ClassificationContentMarkingFooterText">
    <vt:lpwstr>Confidential</vt:lpwstr>
  </property>
  <property fmtid="{D5CDD505-2E9C-101B-9397-08002B2CF9AE}" pid="7" name="MSIP_Label_ff56cc6b-8e91-4f6b-ad73-14cd611c8a06_Enabled">
    <vt:lpwstr>true</vt:lpwstr>
  </property>
  <property fmtid="{D5CDD505-2E9C-101B-9397-08002B2CF9AE}" pid="8" name="MSIP_Label_ff56cc6b-8e91-4f6b-ad73-14cd611c8a06_SetDate">
    <vt:lpwstr>2025-11-19T13:51:28Z</vt:lpwstr>
  </property>
  <property fmtid="{D5CDD505-2E9C-101B-9397-08002B2CF9AE}" pid="9" name="MSIP_Label_ff56cc6b-8e91-4f6b-ad73-14cd611c8a06_Method">
    <vt:lpwstr>Standard</vt:lpwstr>
  </property>
  <property fmtid="{D5CDD505-2E9C-101B-9397-08002B2CF9AE}" pid="10" name="MSIP_Label_ff56cc6b-8e91-4f6b-ad73-14cd611c8a06_Name">
    <vt:lpwstr>Internal Information</vt:lpwstr>
  </property>
  <property fmtid="{D5CDD505-2E9C-101B-9397-08002B2CF9AE}" pid="11" name="MSIP_Label_ff56cc6b-8e91-4f6b-ad73-14cd611c8a06_SiteId">
    <vt:lpwstr>27987bdd-43e0-44bf-95a3-94937a2498d4</vt:lpwstr>
  </property>
  <property fmtid="{D5CDD505-2E9C-101B-9397-08002B2CF9AE}" pid="12" name="MSIP_Label_ff56cc6b-8e91-4f6b-ad73-14cd611c8a06_ActionId">
    <vt:lpwstr>feedbb3f-233d-4b58-9d48-78900c507a12</vt:lpwstr>
  </property>
  <property fmtid="{D5CDD505-2E9C-101B-9397-08002B2CF9AE}" pid="13" name="MSIP_Label_ff56cc6b-8e91-4f6b-ad73-14cd611c8a06_ContentBits">
    <vt:lpwstr>2</vt:lpwstr>
  </property>
  <property fmtid="{D5CDD505-2E9C-101B-9397-08002B2CF9AE}" pid="14" name="MSIP_Label_ff56cc6b-8e91-4f6b-ad73-14cd611c8a06_Tag">
    <vt:lpwstr>10, 3, 0, 1</vt:lpwstr>
  </property>
</Properties>
</file>